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741" w:rsidRPr="00A66741" w:rsidRDefault="00A66741" w:rsidP="00A66741">
      <w:pPr>
        <w:spacing w:after="0" w:line="240" w:lineRule="auto"/>
        <w:ind w:left="2835" w:right="1134" w:hanging="1134"/>
        <w:jc w:val="both"/>
        <w:rPr>
          <w:rFonts w:ascii="Tahoma" w:eastAsia="Times New Roman" w:hAnsi="Tahoma" w:cs="Tahoma"/>
          <w:i/>
          <w:sz w:val="18"/>
          <w:szCs w:val="18"/>
          <w:lang w:val="es-ES" w:eastAsia="es-ES"/>
        </w:rPr>
      </w:pPr>
      <w:bookmarkStart w:id="0" w:name="_GoBack"/>
      <w:bookmarkEnd w:id="0"/>
      <w:r w:rsidRPr="00A66741">
        <w:rPr>
          <w:rFonts w:ascii="Tahoma" w:eastAsia="Times New Roman" w:hAnsi="Tahoma" w:cs="Tahoma"/>
          <w:b/>
          <w:sz w:val="20"/>
          <w:szCs w:val="20"/>
          <w:lang w:val="es-ES" w:eastAsia="es-ES"/>
        </w:rPr>
        <w:t xml:space="preserve">Sumilla   </w:t>
      </w:r>
      <w:r w:rsidRPr="00A66741">
        <w:rPr>
          <w:rFonts w:ascii="Tahoma" w:eastAsia="Times New Roman" w:hAnsi="Tahoma" w:cs="Tahoma"/>
          <w:b/>
          <w:sz w:val="18"/>
          <w:szCs w:val="18"/>
          <w:lang w:val="es-ES" w:eastAsia="es-ES"/>
        </w:rPr>
        <w:t>:</w:t>
      </w:r>
      <w:r w:rsidRPr="00A66741">
        <w:rPr>
          <w:rFonts w:ascii="Tahoma" w:eastAsia="Times New Roman" w:hAnsi="Tahoma" w:cs="Tahoma"/>
          <w:i/>
          <w:sz w:val="18"/>
          <w:szCs w:val="18"/>
          <w:lang w:val="es-ES" w:eastAsia="es-ES"/>
        </w:rPr>
        <w:tab/>
        <w:t>“</w:t>
      </w:r>
      <w:r w:rsidR="00180973" w:rsidRPr="00180973">
        <w:rPr>
          <w:rFonts w:ascii="Times New Roman" w:eastAsia="Times New Roman" w:hAnsi="Times New Roman" w:cs="Times New Roman"/>
          <w:i/>
          <w:sz w:val="20"/>
          <w:szCs w:val="20"/>
          <w:lang w:val="es-ES" w:eastAsia="es-PE"/>
        </w:rPr>
        <w:t>P</w:t>
      </w:r>
      <w:r w:rsidR="00180973" w:rsidRPr="00A66741">
        <w:rPr>
          <w:rFonts w:ascii="Times New Roman" w:eastAsia="Times New Roman" w:hAnsi="Times New Roman" w:cs="Times New Roman"/>
          <w:i/>
          <w:sz w:val="20"/>
          <w:szCs w:val="20"/>
          <w:lang w:val="es-ES" w:eastAsia="es-PE"/>
        </w:rPr>
        <w:t>ara la configuración del supuesto de presentación de documentación falsa, se requiere previamente acreditar su falsedad</w:t>
      </w:r>
      <w:r w:rsidRPr="00A66741">
        <w:rPr>
          <w:rFonts w:ascii="Tahoma" w:eastAsia="Times New Roman" w:hAnsi="Tahoma" w:cs="Tahoma"/>
          <w:i/>
          <w:sz w:val="18"/>
          <w:szCs w:val="18"/>
          <w:lang w:val="es-ES" w:eastAsia="es-ES"/>
        </w:rPr>
        <w:t>”.</w:t>
      </w:r>
    </w:p>
    <w:p w:rsidR="00A66741" w:rsidRPr="00A66741" w:rsidRDefault="00A66741" w:rsidP="00A66741">
      <w:pPr>
        <w:spacing w:after="0" w:line="240" w:lineRule="auto"/>
        <w:ind w:left="2268" w:right="1843"/>
        <w:jc w:val="both"/>
        <w:rPr>
          <w:rFonts w:ascii="Tahoma" w:eastAsia="Times New Roman" w:hAnsi="Tahoma" w:cs="Tahoma"/>
          <w:sz w:val="20"/>
          <w:szCs w:val="20"/>
          <w:lang w:val="es-ES" w:eastAsia="es-ES"/>
        </w:rPr>
      </w:pPr>
    </w:p>
    <w:p w:rsidR="00A66741" w:rsidRPr="00A66741" w:rsidRDefault="00A66741" w:rsidP="00A66741">
      <w:pPr>
        <w:spacing w:after="0" w:line="240" w:lineRule="auto"/>
        <w:ind w:left="2268" w:right="1843"/>
        <w:jc w:val="both"/>
        <w:rPr>
          <w:rFonts w:ascii="Times New Roman" w:eastAsia="Times New Roman" w:hAnsi="Times New Roman" w:cs="Times New Roman"/>
          <w:sz w:val="16"/>
          <w:szCs w:val="16"/>
          <w:lang w:val="es-ES" w:eastAsia="es-ES"/>
        </w:rPr>
      </w:pPr>
    </w:p>
    <w:p w:rsidR="00A66741" w:rsidRPr="00A66741" w:rsidRDefault="00A66741" w:rsidP="00A66741">
      <w:pPr>
        <w:spacing w:after="0" w:line="240" w:lineRule="auto"/>
        <w:ind w:left="2268" w:right="1843"/>
        <w:jc w:val="both"/>
        <w:rPr>
          <w:rFonts w:ascii="Times New Roman" w:eastAsia="Times New Roman" w:hAnsi="Times New Roman" w:cs="Times New Roman"/>
          <w:sz w:val="16"/>
          <w:szCs w:val="16"/>
          <w:lang w:val="es-ES" w:eastAsia="es-ES"/>
        </w:rPr>
      </w:pPr>
    </w:p>
    <w:p w:rsidR="00A66741" w:rsidRPr="00A66741" w:rsidRDefault="00A66741" w:rsidP="00A66741">
      <w:pPr>
        <w:spacing w:after="0" w:line="240" w:lineRule="auto"/>
        <w:ind w:left="2268" w:right="1843"/>
        <w:jc w:val="both"/>
        <w:rPr>
          <w:rFonts w:ascii="Times New Roman" w:eastAsia="Times New Roman" w:hAnsi="Times New Roman" w:cs="Times New Roman"/>
          <w:b/>
          <w:sz w:val="16"/>
          <w:szCs w:val="16"/>
          <w:lang w:val="es-ES" w:eastAsia="es-ES"/>
        </w:rPr>
      </w:pPr>
    </w:p>
    <w:p w:rsidR="00A66741" w:rsidRPr="00A66741" w:rsidRDefault="00E5730A" w:rsidP="00E5730A">
      <w:pPr>
        <w:spacing w:after="0" w:line="240" w:lineRule="auto"/>
        <w:ind w:left="2694" w:right="991" w:hanging="1418"/>
        <w:jc w:val="center"/>
        <w:rPr>
          <w:rFonts w:ascii="Tahoma" w:eastAsia="Times New Roman" w:hAnsi="Tahoma" w:cs="Tahoma"/>
          <w:b/>
          <w:i/>
          <w:sz w:val="20"/>
          <w:szCs w:val="20"/>
          <w:lang w:val="es-ES" w:eastAsia="es-ES"/>
        </w:rPr>
      </w:pPr>
      <w:r>
        <w:rPr>
          <w:rFonts w:ascii="Tahoma" w:eastAsia="Times New Roman" w:hAnsi="Tahoma" w:cs="Tahoma"/>
          <w:b/>
          <w:i/>
          <w:sz w:val="20"/>
          <w:szCs w:val="20"/>
          <w:lang w:val="es-ES" w:eastAsia="es-ES"/>
        </w:rPr>
        <w:t xml:space="preserve">                                                           Lima, 19 de Septiembre de 2011</w:t>
      </w:r>
    </w:p>
    <w:p w:rsidR="00A66741" w:rsidRPr="00A66741" w:rsidRDefault="00A66741" w:rsidP="00A66741">
      <w:pPr>
        <w:spacing w:after="0" w:line="240" w:lineRule="auto"/>
        <w:ind w:left="4956" w:firstLine="708"/>
        <w:jc w:val="right"/>
        <w:rPr>
          <w:rFonts w:ascii="Tahoma" w:eastAsia="Batang" w:hAnsi="Tahoma" w:cs="Tahoma"/>
          <w:b/>
          <w:color w:val="FFFFFF"/>
          <w:sz w:val="20"/>
          <w:szCs w:val="20"/>
          <w:lang w:eastAsia="es-ES"/>
        </w:rPr>
      </w:pPr>
      <w:r w:rsidRPr="00A66741">
        <w:rPr>
          <w:rFonts w:ascii="Tahoma" w:eastAsia="Batang" w:hAnsi="Tahoma" w:cs="Tahoma"/>
          <w:b/>
          <w:color w:val="FFFFFF"/>
          <w:sz w:val="20"/>
          <w:szCs w:val="20"/>
          <w:lang w:eastAsia="es-ES"/>
        </w:rPr>
        <w:t xml:space="preserve">Lima, 05 de mayo de 2010   </w:t>
      </w:r>
    </w:p>
    <w:p w:rsidR="00A66741" w:rsidRPr="00A66741" w:rsidRDefault="00A66741" w:rsidP="00A66741">
      <w:pPr>
        <w:spacing w:after="0" w:line="240" w:lineRule="auto"/>
        <w:jc w:val="right"/>
        <w:rPr>
          <w:rFonts w:ascii="Tahoma" w:eastAsia="Batang" w:hAnsi="Tahoma" w:cs="Tahoma"/>
          <w:sz w:val="20"/>
          <w:szCs w:val="20"/>
          <w:lang w:val="es-ES" w:eastAsia="es-ES"/>
        </w:rPr>
      </w:pPr>
    </w:p>
    <w:p w:rsidR="00A66741" w:rsidRPr="00AC4D44" w:rsidRDefault="00A66741" w:rsidP="00A66741">
      <w:pPr>
        <w:spacing w:after="0" w:line="240" w:lineRule="auto"/>
        <w:ind w:left="142" w:right="-283"/>
        <w:jc w:val="both"/>
        <w:rPr>
          <w:rFonts w:ascii="Tahoma" w:eastAsia="Times New Roman" w:hAnsi="Tahoma" w:cs="Tahoma"/>
          <w:lang w:val="es-ES" w:eastAsia="es-ES"/>
        </w:rPr>
      </w:pPr>
      <w:r w:rsidRPr="00AC4D44">
        <w:rPr>
          <w:rFonts w:ascii="Tahoma" w:eastAsia="Times New Roman" w:hAnsi="Tahoma" w:cs="Tahoma"/>
          <w:b/>
          <w:lang w:val="es-ES" w:eastAsia="es-ES"/>
        </w:rPr>
        <w:t>Visto</w:t>
      </w:r>
      <w:r w:rsidR="00E5730A">
        <w:rPr>
          <w:rFonts w:ascii="Tahoma" w:eastAsia="Times New Roman" w:hAnsi="Tahoma" w:cs="Tahoma"/>
          <w:lang w:val="es-ES" w:eastAsia="es-ES"/>
        </w:rPr>
        <w:t xml:space="preserve"> en sesión de fecha 19</w:t>
      </w:r>
      <w:r w:rsidRPr="00AC4D44">
        <w:rPr>
          <w:rFonts w:ascii="Tahoma" w:eastAsia="Times New Roman" w:hAnsi="Tahoma" w:cs="Tahoma"/>
          <w:lang w:val="es-ES" w:eastAsia="es-ES"/>
        </w:rPr>
        <w:t xml:space="preserve"> de Septiembre de 2011 de la Primera Sala del Tribunal de Contrataciones del Estado, el Expediente N° 63.2011.TC sobre Procedimiento Administrativo Sancionador contra </w:t>
      </w:r>
      <w:r w:rsidRPr="00AC4D44">
        <w:rPr>
          <w:rFonts w:ascii="Tahoma" w:eastAsia="Times New Roman" w:hAnsi="Tahoma" w:cs="Tahoma"/>
          <w:lang w:eastAsia="es-ES"/>
        </w:rPr>
        <w:t xml:space="preserve">la empresa </w:t>
      </w:r>
      <w:r w:rsidRPr="00AC4D44">
        <w:rPr>
          <w:rFonts w:ascii="Tahoma" w:eastAsia="Times New Roman" w:hAnsi="Tahoma" w:cs="Tahoma"/>
          <w:b/>
          <w:lang w:eastAsia="es-ES"/>
        </w:rPr>
        <w:t>PROAGRO IMPORT &amp; EXPORT S.A.C.</w:t>
      </w:r>
      <w:r w:rsidRPr="00AC4D44">
        <w:rPr>
          <w:rFonts w:ascii="Tahoma" w:eastAsia="Times New Roman" w:hAnsi="Tahoma" w:cs="Tahoma"/>
          <w:b/>
          <w:lang w:val="es-ES" w:eastAsia="es-ES"/>
        </w:rPr>
        <w:t xml:space="preserve">, </w:t>
      </w:r>
      <w:r w:rsidRPr="00AC4D44">
        <w:rPr>
          <w:rFonts w:ascii="Tahoma" w:eastAsia="Times New Roman" w:hAnsi="Tahoma" w:cs="Tahoma"/>
          <w:lang w:val="es-ES" w:eastAsia="es-ES"/>
        </w:rPr>
        <w:t>por supuesta responsabilidad</w:t>
      </w:r>
      <w:r w:rsidRPr="00AC4D44">
        <w:rPr>
          <w:rFonts w:ascii="Tahoma" w:hAnsi="Tahoma" w:cs="Tahoma"/>
          <w:color w:val="000000"/>
          <w:lang w:val="es-ES"/>
        </w:rPr>
        <w:t xml:space="preserve">en la presentación de la </w:t>
      </w:r>
      <w:r w:rsidRPr="00AC4D44">
        <w:rPr>
          <w:rFonts w:ascii="Tahoma" w:hAnsi="Tahoma" w:cs="Tahoma"/>
          <w:b/>
          <w:color w:val="000000"/>
          <w:lang w:val="es-ES"/>
        </w:rPr>
        <w:t xml:space="preserve">FACTURA Nº 001-000119, </w:t>
      </w:r>
      <w:r w:rsidRPr="00AC4D44">
        <w:rPr>
          <w:rFonts w:ascii="Tahoma" w:hAnsi="Tahoma" w:cs="Tahoma"/>
          <w:color w:val="000000"/>
          <w:lang w:val="es-ES"/>
        </w:rPr>
        <w:t xml:space="preserve">documento supuestamente falso o inexacto presentado ante el Tribunal de Contrataciones del Estado, </w:t>
      </w:r>
      <w:r w:rsidRPr="00AC4D44">
        <w:rPr>
          <w:rFonts w:ascii="Tahoma" w:eastAsia="Calibri" w:hAnsi="Tahoma" w:cs="Tahoma"/>
          <w:lang w:val="es-ES" w:eastAsia="es-ES"/>
        </w:rPr>
        <w:t xml:space="preserve">respecto de la </w:t>
      </w:r>
      <w:r w:rsidRPr="00AC4D44">
        <w:rPr>
          <w:rFonts w:ascii="Tahoma" w:eastAsia="Times New Roman" w:hAnsi="Tahoma" w:cs="Tahoma"/>
          <w:lang w:eastAsia="es-ES"/>
        </w:rPr>
        <w:t>Adjudicación Directa Pública Nº 004-2008-MTC/10</w:t>
      </w:r>
      <w:r w:rsidRPr="00AC4D44">
        <w:rPr>
          <w:rFonts w:ascii="Tahoma" w:eastAsia="Times New Roman" w:hAnsi="Tahoma" w:cs="Tahoma"/>
          <w:lang w:val="es-ES" w:eastAsia="es-ES"/>
        </w:rPr>
        <w:t xml:space="preserve">; y, atendiendo a lo siguiente:   </w:t>
      </w:r>
    </w:p>
    <w:p w:rsidR="00A66741" w:rsidRPr="00A66741" w:rsidRDefault="00A66741" w:rsidP="00A66741">
      <w:pPr>
        <w:spacing w:after="0" w:line="240" w:lineRule="auto"/>
        <w:ind w:left="142" w:right="-283"/>
        <w:jc w:val="both"/>
        <w:rPr>
          <w:rFonts w:ascii="Tahoma" w:eastAsia="Times New Roman" w:hAnsi="Tahoma" w:cs="Tahoma"/>
          <w:sz w:val="20"/>
          <w:szCs w:val="20"/>
          <w:lang w:val="es-ES" w:eastAsia="es-ES"/>
        </w:rPr>
      </w:pPr>
    </w:p>
    <w:p w:rsidR="00A66741" w:rsidRPr="00A66741" w:rsidRDefault="00A66741" w:rsidP="00A66741">
      <w:pPr>
        <w:spacing w:after="0" w:line="240" w:lineRule="auto"/>
        <w:rPr>
          <w:rFonts w:ascii="Tahoma" w:eastAsia="Times New Roman" w:hAnsi="Tahoma" w:cs="Tahoma"/>
          <w:b/>
          <w:sz w:val="21"/>
          <w:szCs w:val="21"/>
          <w:lang w:val="es-ES" w:eastAsia="es-ES"/>
        </w:rPr>
      </w:pPr>
    </w:p>
    <w:p w:rsidR="00A66741" w:rsidRPr="00A66741" w:rsidRDefault="00A66741" w:rsidP="00A66741">
      <w:pPr>
        <w:spacing w:after="0" w:line="240" w:lineRule="auto"/>
        <w:ind w:firstLine="708"/>
        <w:rPr>
          <w:rFonts w:ascii="Tahoma" w:eastAsia="Times New Roman" w:hAnsi="Tahoma" w:cs="Tahoma"/>
          <w:b/>
          <w:sz w:val="21"/>
          <w:szCs w:val="21"/>
          <w:lang w:val="es-ES" w:eastAsia="es-ES"/>
        </w:rPr>
      </w:pPr>
      <w:r w:rsidRPr="00A66741">
        <w:rPr>
          <w:rFonts w:ascii="Tahoma" w:eastAsia="Times New Roman" w:hAnsi="Tahoma" w:cs="Tahoma"/>
          <w:b/>
          <w:sz w:val="21"/>
          <w:szCs w:val="21"/>
          <w:lang w:val="es-ES" w:eastAsia="es-ES"/>
        </w:rPr>
        <w:t>ANTECEDENTES:</w:t>
      </w:r>
    </w:p>
    <w:p w:rsidR="00A66741" w:rsidRPr="00A66741" w:rsidRDefault="00A66741" w:rsidP="00A66741">
      <w:pPr>
        <w:spacing w:after="0" w:line="240" w:lineRule="auto"/>
        <w:ind w:firstLine="708"/>
        <w:rPr>
          <w:rFonts w:ascii="Tahoma" w:eastAsia="Times New Roman" w:hAnsi="Tahoma" w:cs="Tahoma"/>
          <w:b/>
          <w:sz w:val="21"/>
          <w:szCs w:val="21"/>
          <w:lang w:val="es-ES" w:eastAsia="es-ES"/>
        </w:rPr>
      </w:pPr>
    </w:p>
    <w:p w:rsidR="00A66741" w:rsidRPr="00A66741" w:rsidRDefault="00A66741" w:rsidP="00180973">
      <w:pPr>
        <w:numPr>
          <w:ilvl w:val="0"/>
          <w:numId w:val="7"/>
        </w:numPr>
        <w:tabs>
          <w:tab w:val="clear" w:pos="454"/>
          <w:tab w:val="num" w:pos="567"/>
        </w:tabs>
        <w:spacing w:after="0" w:line="240" w:lineRule="auto"/>
        <w:ind w:left="567" w:hanging="567"/>
        <w:jc w:val="both"/>
        <w:rPr>
          <w:rFonts w:ascii="Tahoma" w:eastAsia="Times New Roman" w:hAnsi="Tahoma" w:cs="Tahoma"/>
          <w:lang w:val="es-ES" w:eastAsia="es-ES"/>
        </w:rPr>
      </w:pPr>
      <w:r w:rsidRPr="00A66741">
        <w:rPr>
          <w:rFonts w:ascii="Tahoma" w:eastAsia="Times New Roman" w:hAnsi="Tahoma" w:cs="Tahoma"/>
          <w:lang w:eastAsia="es-ES"/>
        </w:rPr>
        <w:t>Mediante Resolución Nº 020-2011-TC-S2 de fecha 07 de Enero de 2011, la Segunda Sala del Tribunal, resolvió lo siguiente:</w:t>
      </w:r>
    </w:p>
    <w:p w:rsidR="00A66741" w:rsidRPr="00A66741" w:rsidRDefault="00A66741" w:rsidP="00180973">
      <w:pPr>
        <w:tabs>
          <w:tab w:val="num" w:pos="567"/>
        </w:tabs>
        <w:spacing w:after="0" w:line="240" w:lineRule="auto"/>
        <w:ind w:left="720"/>
        <w:contextualSpacing/>
        <w:rPr>
          <w:rFonts w:ascii="Tahoma" w:eastAsia="Times New Roman" w:hAnsi="Tahoma" w:cs="Tahoma"/>
          <w:lang w:eastAsia="es-ES"/>
        </w:rPr>
      </w:pPr>
    </w:p>
    <w:p w:rsidR="00A66741" w:rsidRPr="00A66741" w:rsidRDefault="00A66741" w:rsidP="00180973">
      <w:pPr>
        <w:numPr>
          <w:ilvl w:val="0"/>
          <w:numId w:val="8"/>
        </w:numPr>
        <w:tabs>
          <w:tab w:val="left" w:pos="851"/>
        </w:tabs>
        <w:spacing w:after="0" w:line="240" w:lineRule="auto"/>
        <w:ind w:left="851" w:hanging="284"/>
        <w:contextualSpacing/>
        <w:jc w:val="both"/>
        <w:rPr>
          <w:rFonts w:ascii="Tahoma" w:eastAsia="Times New Roman" w:hAnsi="Tahoma" w:cs="Tahoma"/>
          <w:lang w:eastAsia="es-ES"/>
        </w:rPr>
      </w:pPr>
      <w:r w:rsidRPr="00A66741">
        <w:rPr>
          <w:rFonts w:ascii="Tahoma" w:eastAsia="Times New Roman" w:hAnsi="Tahoma" w:cs="Tahoma"/>
          <w:lang w:eastAsia="es-ES"/>
        </w:rPr>
        <w:t>Declarar no ha lugar a la imposición de sanción a la empresa PROAGRO IMPORT &amp; EXPORT S.A.C., por la presentación del Contrato de Locación de Servicios Nº 023-2005 en la Adjudicación Directa Pública Nº 004-2008-MTC/10 ante el Ministerio de Transportes y Comunicaciones, infracción tipificada en el literal i) del inciso 1 del artículo 237 del Reglamento de la Ley de Contrataciones del Estado, aprobado por Decreto Supremo Nº 184-2008-EF, por lo que corresponde archivar definitivamente este expediente.</w:t>
      </w:r>
    </w:p>
    <w:p w:rsidR="00A66741" w:rsidRPr="00A66741" w:rsidRDefault="00A66741" w:rsidP="00180973">
      <w:pPr>
        <w:tabs>
          <w:tab w:val="left" w:pos="851"/>
        </w:tabs>
        <w:spacing w:after="0" w:line="240" w:lineRule="auto"/>
        <w:ind w:left="851" w:hanging="284"/>
        <w:jc w:val="both"/>
        <w:rPr>
          <w:rFonts w:ascii="Tahoma" w:eastAsia="Times New Roman" w:hAnsi="Tahoma" w:cs="Tahoma"/>
          <w:lang w:eastAsia="es-ES"/>
        </w:rPr>
      </w:pPr>
    </w:p>
    <w:p w:rsidR="00A66741" w:rsidRPr="00A66741" w:rsidRDefault="00A66741" w:rsidP="00180973">
      <w:pPr>
        <w:numPr>
          <w:ilvl w:val="0"/>
          <w:numId w:val="8"/>
        </w:numPr>
        <w:tabs>
          <w:tab w:val="left" w:pos="851"/>
        </w:tabs>
        <w:spacing w:after="0" w:line="240" w:lineRule="auto"/>
        <w:ind w:left="851" w:hanging="284"/>
        <w:contextualSpacing/>
        <w:jc w:val="both"/>
        <w:rPr>
          <w:rFonts w:ascii="Tahoma" w:eastAsia="Times New Roman" w:hAnsi="Tahoma" w:cs="Tahoma"/>
          <w:lang w:eastAsia="es-ES"/>
        </w:rPr>
      </w:pPr>
      <w:r w:rsidRPr="00A66741">
        <w:rPr>
          <w:rFonts w:ascii="Tahoma" w:eastAsia="Times New Roman" w:hAnsi="Tahoma" w:cs="Tahoma"/>
          <w:lang w:eastAsia="es-ES"/>
        </w:rPr>
        <w:t>Abrir expediente administrativo sancionador contra la empresa PROAGRO IMPORT &amp; EXPORT S.A.C., por la presentación de la Factura Nº 001-00119 de fecha 30 de Junio de 2005, emitida a favor de la empresa Orellana &amp; León Abogados y Consultores S.A.C., por la suma de S./ 15, 418.00, en el recurso de apelación ante el Tribunal, infracción tipificada en el literal i) del inciso 1 del artículo 237 del Reglamento de la Ley de Contrataciones del Estado, aprobado por Decreto Supremo Nº 184-2008-EF.</w:t>
      </w:r>
    </w:p>
    <w:p w:rsidR="00A66741" w:rsidRPr="00A66741" w:rsidRDefault="00A66741" w:rsidP="00A66741">
      <w:pPr>
        <w:spacing w:after="0" w:line="240" w:lineRule="auto"/>
        <w:ind w:left="454"/>
        <w:jc w:val="both"/>
        <w:rPr>
          <w:rFonts w:ascii="Tahoma" w:eastAsia="Times New Roman" w:hAnsi="Tahoma" w:cs="Tahoma"/>
          <w:lang w:val="es-ES" w:eastAsia="es-ES"/>
        </w:rPr>
      </w:pPr>
      <w:r w:rsidRPr="00A66741">
        <w:rPr>
          <w:rFonts w:ascii="Tahoma" w:eastAsia="Times New Roman" w:hAnsi="Tahoma" w:cs="Tahoma"/>
          <w:lang w:eastAsia="es-ES"/>
        </w:rPr>
        <w:br/>
      </w:r>
    </w:p>
    <w:p w:rsidR="00A66741" w:rsidRPr="00A66741" w:rsidRDefault="00A66741" w:rsidP="00180973">
      <w:pPr>
        <w:numPr>
          <w:ilvl w:val="0"/>
          <w:numId w:val="7"/>
        </w:numPr>
        <w:tabs>
          <w:tab w:val="clear" w:pos="454"/>
          <w:tab w:val="num" w:pos="567"/>
        </w:tabs>
        <w:spacing w:after="0" w:line="240" w:lineRule="auto"/>
        <w:ind w:left="567" w:right="-316" w:hanging="567"/>
        <w:contextualSpacing/>
        <w:jc w:val="both"/>
        <w:rPr>
          <w:rFonts w:ascii="Tahoma" w:eastAsia="Times New Roman" w:hAnsi="Tahoma" w:cs="Tahoma"/>
          <w:lang w:val="es-ES" w:eastAsia="es-ES"/>
        </w:rPr>
      </w:pPr>
      <w:r w:rsidRPr="00A66741">
        <w:rPr>
          <w:rFonts w:ascii="Tahoma" w:eastAsia="Times New Roman" w:hAnsi="Tahoma" w:cs="Tahoma"/>
          <w:lang w:val="es-ES" w:eastAsia="es-ES"/>
        </w:rPr>
        <w:lastRenderedPageBreak/>
        <w:t xml:space="preserve">Por decreto de fecha 19 de Septiembre de 2010, y en razón a la Resolución Nº 020-2011-TC-S2 de fecha 07 de Enero de 2011, se inició el Procedimiento Administrativo Sancionador, otorgándole a la empresa </w:t>
      </w:r>
      <w:r w:rsidRPr="00A66741">
        <w:rPr>
          <w:rFonts w:ascii="Tahoma" w:eastAsia="Times New Roman" w:hAnsi="Tahoma" w:cs="Tahoma"/>
          <w:lang w:eastAsia="es-ES"/>
        </w:rPr>
        <w:t xml:space="preserve">PROAGRO IMPORT &amp; EXPORT S.A.C., </w:t>
      </w:r>
      <w:r w:rsidRPr="00A66741">
        <w:rPr>
          <w:rFonts w:ascii="Tahoma" w:eastAsia="Times New Roman" w:hAnsi="Tahoma" w:cs="Tahoma"/>
          <w:lang w:val="es-ES" w:eastAsia="es-ES"/>
        </w:rPr>
        <w:t>el plazo de diez (10) días hábiles, para que remita sus descargos, bajo apercibimiento de resolver con la documentación obrante en autos.</w:t>
      </w:r>
    </w:p>
    <w:p w:rsidR="00A66741" w:rsidRPr="00A66741" w:rsidRDefault="00A66741" w:rsidP="00A66741">
      <w:pPr>
        <w:spacing w:after="0" w:line="240" w:lineRule="auto"/>
        <w:ind w:left="567" w:right="-316"/>
        <w:contextualSpacing/>
        <w:jc w:val="both"/>
        <w:rPr>
          <w:rFonts w:ascii="Tahoma" w:eastAsia="Times New Roman" w:hAnsi="Tahoma" w:cs="Tahoma"/>
          <w:lang w:val="es-ES" w:eastAsia="es-ES"/>
        </w:rPr>
      </w:pPr>
    </w:p>
    <w:p w:rsidR="00A66741" w:rsidRPr="00A66741" w:rsidRDefault="00A66741" w:rsidP="00180973">
      <w:pPr>
        <w:numPr>
          <w:ilvl w:val="0"/>
          <w:numId w:val="7"/>
        </w:numPr>
        <w:tabs>
          <w:tab w:val="clear" w:pos="454"/>
          <w:tab w:val="num" w:pos="567"/>
        </w:tabs>
        <w:spacing w:after="0" w:line="240" w:lineRule="auto"/>
        <w:ind w:left="567" w:right="-316" w:hanging="567"/>
        <w:contextualSpacing/>
        <w:jc w:val="both"/>
        <w:rPr>
          <w:rFonts w:ascii="Tahoma" w:eastAsia="Times New Roman" w:hAnsi="Tahoma" w:cs="Tahoma"/>
          <w:lang w:val="es-ES" w:eastAsia="es-ES"/>
        </w:rPr>
      </w:pPr>
      <w:r w:rsidRPr="00A66741">
        <w:rPr>
          <w:rFonts w:ascii="Tahoma" w:eastAsia="Times New Roman" w:hAnsi="Tahoma" w:cs="Tahoma"/>
          <w:bCs/>
          <w:lang w:val="es-ES" w:eastAsia="es-ES"/>
        </w:rPr>
        <w:t>Con escritos de fechas 21 y 22 de Junio de 2011, la empresa PROAGRO IMPORT &amp; EXPORT S.A.C., presentó sus descargos</w:t>
      </w:r>
      <w:r w:rsidRPr="00A66741">
        <w:rPr>
          <w:rFonts w:ascii="Tahoma" w:eastAsia="Times New Roman" w:hAnsi="Tahoma" w:cs="Tahoma"/>
          <w:lang w:val="es-ES" w:eastAsia="es-ES"/>
        </w:rPr>
        <w:t>, bajo los siguientes argumentos:</w:t>
      </w:r>
    </w:p>
    <w:p w:rsidR="00A66741" w:rsidRPr="00A66741" w:rsidRDefault="00A66741" w:rsidP="00A66741">
      <w:pPr>
        <w:spacing w:after="0" w:line="240" w:lineRule="auto"/>
        <w:ind w:left="720"/>
        <w:contextualSpacing/>
        <w:rPr>
          <w:rFonts w:ascii="Tahoma" w:eastAsia="Times New Roman" w:hAnsi="Tahoma" w:cs="Tahoma"/>
          <w:lang w:val="es-ES" w:eastAsia="es-ES"/>
        </w:rPr>
      </w:pPr>
    </w:p>
    <w:p w:rsidR="00A66741" w:rsidRPr="00A66741" w:rsidRDefault="00A66741" w:rsidP="00A66741">
      <w:pPr>
        <w:tabs>
          <w:tab w:val="left" w:pos="567"/>
        </w:tabs>
        <w:spacing w:after="0" w:line="240" w:lineRule="auto"/>
        <w:ind w:left="567" w:right="-316"/>
        <w:contextualSpacing/>
        <w:jc w:val="both"/>
        <w:rPr>
          <w:rFonts w:ascii="Tahoma" w:eastAsia="Times New Roman" w:hAnsi="Tahoma" w:cs="Tahoma"/>
          <w:lang w:val="es-ES" w:eastAsia="es-ES"/>
        </w:rPr>
      </w:pPr>
      <w:r w:rsidRPr="00A66741">
        <w:rPr>
          <w:rFonts w:ascii="Tahoma" w:eastAsia="Times New Roman" w:hAnsi="Tahoma" w:cs="Tahoma"/>
          <w:lang w:val="es-ES" w:eastAsia="es-ES"/>
        </w:rPr>
        <w:t>“(…)</w:t>
      </w:r>
    </w:p>
    <w:p w:rsidR="00A66741" w:rsidRPr="00A66741" w:rsidRDefault="00A66741" w:rsidP="00A66741">
      <w:pPr>
        <w:numPr>
          <w:ilvl w:val="0"/>
          <w:numId w:val="10"/>
        </w:numPr>
        <w:spacing w:after="0" w:line="240" w:lineRule="auto"/>
        <w:ind w:left="1134" w:hanging="567"/>
        <w:contextualSpacing/>
        <w:jc w:val="both"/>
        <w:rPr>
          <w:rFonts w:ascii="Tahoma" w:eastAsia="Calibri" w:hAnsi="Tahoma" w:cs="Tahoma"/>
          <w:lang w:val="es-ES" w:eastAsia="es-ES"/>
        </w:rPr>
      </w:pPr>
      <w:r w:rsidRPr="00A66741">
        <w:rPr>
          <w:rFonts w:ascii="Tahoma" w:eastAsia="Calibri" w:hAnsi="Tahoma" w:cs="Tahoma"/>
          <w:lang w:val="es-ES" w:eastAsia="es-ES"/>
        </w:rPr>
        <w:t>Que el numeral 1) del artículo 235 de la Ley de Procedimiento Administrativo General, Ley Nº 27444 y sus modificatorias, establece que el procedimiento administrativo sancionador se inicia siempre de oficio, bien por propia iniciativa o por denuncia.</w:t>
      </w:r>
    </w:p>
    <w:p w:rsidR="00A66741" w:rsidRPr="00A66741" w:rsidRDefault="00A66741" w:rsidP="00A66741">
      <w:pPr>
        <w:spacing w:after="0" w:line="240" w:lineRule="auto"/>
        <w:ind w:left="1134" w:hanging="567"/>
        <w:jc w:val="both"/>
        <w:rPr>
          <w:rFonts w:ascii="Tahoma" w:eastAsia="Calibri" w:hAnsi="Tahoma" w:cs="Tahoma"/>
          <w:lang w:val="es-ES" w:eastAsia="es-ES"/>
        </w:rPr>
      </w:pPr>
    </w:p>
    <w:p w:rsidR="00A66741" w:rsidRPr="00A66741" w:rsidRDefault="00A66741" w:rsidP="00A66741">
      <w:pPr>
        <w:numPr>
          <w:ilvl w:val="0"/>
          <w:numId w:val="10"/>
        </w:numPr>
        <w:spacing w:after="0" w:line="240" w:lineRule="auto"/>
        <w:ind w:left="1134" w:hanging="567"/>
        <w:contextualSpacing/>
        <w:jc w:val="both"/>
        <w:rPr>
          <w:rFonts w:ascii="Tahoma" w:eastAsia="Calibri" w:hAnsi="Tahoma" w:cs="Tahoma"/>
          <w:lang w:val="es-ES" w:eastAsia="es-ES"/>
        </w:rPr>
      </w:pPr>
      <w:r w:rsidRPr="00A66741">
        <w:rPr>
          <w:rFonts w:ascii="Tahoma" w:eastAsia="Calibri" w:hAnsi="Tahoma" w:cs="Tahoma"/>
          <w:lang w:val="es-ES" w:eastAsia="es-ES"/>
        </w:rPr>
        <w:t>En el presente proceso, está referido a la supuesta responsabilidad de mi representada en la presentación de documentación falsa y/o inexacta en el proceso de selección por Adjudicación Directa Pública Nº 004-2008-MTC-10 (Servicio de Jardinería), infracción tipificada si fuera el caso en el literal i) del artículo  237 del Reglamento de la Ley de Adquisiciones y Contrataciones del Estado, aprobado mediante Decreto Supremo Nº 184-2008-EF.</w:t>
      </w:r>
    </w:p>
    <w:p w:rsidR="00A66741" w:rsidRPr="00A66741" w:rsidRDefault="00A66741" w:rsidP="00A66741">
      <w:pPr>
        <w:spacing w:after="0" w:line="240" w:lineRule="auto"/>
        <w:ind w:left="1134" w:hanging="567"/>
        <w:jc w:val="both"/>
        <w:rPr>
          <w:rFonts w:ascii="Tahoma" w:eastAsia="Calibri" w:hAnsi="Tahoma" w:cs="Tahoma"/>
          <w:lang w:val="es-ES" w:eastAsia="es-ES"/>
        </w:rPr>
      </w:pPr>
    </w:p>
    <w:p w:rsidR="00A66741" w:rsidRPr="00A66741" w:rsidRDefault="00A66741" w:rsidP="00A66741">
      <w:pPr>
        <w:numPr>
          <w:ilvl w:val="0"/>
          <w:numId w:val="10"/>
        </w:numPr>
        <w:spacing w:after="0" w:line="240" w:lineRule="auto"/>
        <w:ind w:left="1134" w:hanging="567"/>
        <w:contextualSpacing/>
        <w:jc w:val="both"/>
        <w:rPr>
          <w:rFonts w:ascii="Tahoma" w:eastAsia="Calibri" w:hAnsi="Tahoma" w:cs="Tahoma"/>
          <w:lang w:val="es-ES" w:eastAsia="es-ES"/>
        </w:rPr>
      </w:pPr>
      <w:r w:rsidRPr="00A66741">
        <w:rPr>
          <w:rFonts w:ascii="Tahoma" w:eastAsia="Calibri" w:hAnsi="Tahoma" w:cs="Tahoma"/>
          <w:lang w:val="es-ES" w:eastAsia="es-ES"/>
        </w:rPr>
        <w:t>Que, en la Resolución Nº 020-2011-TC-S2 expedido el 07 de Enero del 2011, se refiere que mi representada PROAGRO IMPORT &amp; EXPORT SOCIEDAD ANONIMA CERRADA, presentó en el proceso de selección como parte de nuestra propuesta la Factura Nº 001-00119 de fecha 30 de Junio del 2005, emitida a favor de la empresa Orellana &amp; león Abogados y Consultores S.A.C., por un valor ascendente a S./ 15, 418.00.</w:t>
      </w:r>
    </w:p>
    <w:p w:rsidR="00A66741" w:rsidRPr="00A66741" w:rsidRDefault="00A66741" w:rsidP="00A66741">
      <w:pPr>
        <w:spacing w:after="0" w:line="240" w:lineRule="auto"/>
        <w:ind w:left="1134" w:hanging="567"/>
        <w:jc w:val="both"/>
        <w:rPr>
          <w:rFonts w:ascii="Tahoma" w:eastAsia="Calibri" w:hAnsi="Tahoma" w:cs="Tahoma"/>
          <w:lang w:val="es-ES" w:eastAsia="es-ES"/>
        </w:rPr>
      </w:pPr>
    </w:p>
    <w:p w:rsidR="00A66741" w:rsidRPr="00A66741" w:rsidRDefault="00A66741" w:rsidP="00A66741">
      <w:pPr>
        <w:numPr>
          <w:ilvl w:val="0"/>
          <w:numId w:val="10"/>
        </w:numPr>
        <w:spacing w:after="0" w:line="240" w:lineRule="auto"/>
        <w:ind w:left="1134" w:hanging="567"/>
        <w:contextualSpacing/>
        <w:jc w:val="both"/>
        <w:rPr>
          <w:rFonts w:ascii="Tahoma" w:eastAsia="Calibri" w:hAnsi="Tahoma" w:cs="Tahoma"/>
          <w:lang w:val="es-ES" w:eastAsia="es-ES"/>
        </w:rPr>
      </w:pPr>
      <w:r w:rsidRPr="00A66741">
        <w:rPr>
          <w:rFonts w:ascii="Tahoma" w:eastAsia="Calibri" w:hAnsi="Tahoma" w:cs="Tahoma"/>
          <w:lang w:val="es-ES" w:eastAsia="es-ES"/>
        </w:rPr>
        <w:t>Lo cierto es que, mi representada en el proceso de selección por Adjudicación Directa Pública Nº 004-2008-MTC-10, no presentó, como parte de nuestra propuesta la factura Nº 001-00119, de fecha 30 de Junio del 2005, emitida a favor de la empresa Orellana &amp; León Abogados y Consultores S.A.C., por un valor ascendente a S./ 15, 418.00, por lo tanto; consideramos que no es legalmente procedente abrir expediente administrativo sancionador contra mi representada, por cuanto en dicha adjudicación acreditamos nuestra experiencia con la presentación del Contrato de presentación de servicios Nº 023-2005 de fecha 29 de Abril del 2005, el acta de liquidación del contrato y constancia de prestación de servicio del citado contrato ambos del 15 de mayo del 2007.</w:t>
      </w:r>
    </w:p>
    <w:p w:rsidR="00A66741" w:rsidRPr="00A66741" w:rsidRDefault="00A66741" w:rsidP="00A66741">
      <w:pPr>
        <w:spacing w:after="0" w:line="240" w:lineRule="auto"/>
        <w:ind w:left="1134" w:hanging="567"/>
        <w:jc w:val="both"/>
        <w:rPr>
          <w:rFonts w:ascii="Tahoma" w:eastAsia="Calibri" w:hAnsi="Tahoma" w:cs="Tahoma"/>
          <w:lang w:val="es-ES" w:eastAsia="es-ES"/>
        </w:rPr>
      </w:pPr>
    </w:p>
    <w:p w:rsidR="00A66741" w:rsidRPr="00A66741" w:rsidRDefault="00A66741" w:rsidP="00A66741">
      <w:pPr>
        <w:numPr>
          <w:ilvl w:val="0"/>
          <w:numId w:val="10"/>
        </w:numPr>
        <w:spacing w:after="0" w:line="240" w:lineRule="auto"/>
        <w:ind w:left="1134" w:hanging="567"/>
        <w:contextualSpacing/>
        <w:jc w:val="both"/>
        <w:rPr>
          <w:rFonts w:ascii="Tahoma" w:eastAsia="Calibri" w:hAnsi="Tahoma" w:cs="Tahoma"/>
          <w:lang w:val="es-ES" w:eastAsia="es-ES"/>
        </w:rPr>
      </w:pPr>
      <w:r w:rsidRPr="00A66741">
        <w:rPr>
          <w:rFonts w:ascii="Tahoma" w:eastAsia="Calibri" w:hAnsi="Tahoma" w:cs="Tahoma"/>
          <w:lang w:val="es-ES" w:eastAsia="es-ES"/>
        </w:rPr>
        <w:t>En consecuencia, no existiendo indicios suficientes para iniciar procedimiento administrativo sancionador contra mi representada por la causal de infracción tipificada en el literal i) del numeral 51.1 del artículo 51 de la Ley de Contrataciones del Estado, decreto Legislativo Nº 1017, así como en el literal i) del numeral 1 del artículo 237 del Reglamento de la Ley de Contrataciones del Estado, aprobado mediante Decreto Supremo Nº 184-2008-EF, por la presentación de documentación con información inexacta en la Adjudicación Directa Pública Nº 004-2008-MTC-10, no procede legalmente iniciar procedimiento administrativo sancionador contra mi representada, debiendo disponerse el archivamiento definitivo de la presente denuncia en este extremo.</w:t>
      </w:r>
    </w:p>
    <w:p w:rsidR="00A66741" w:rsidRPr="00A66741" w:rsidRDefault="00A66741" w:rsidP="00A66741">
      <w:pPr>
        <w:spacing w:after="0" w:line="240" w:lineRule="auto"/>
        <w:ind w:left="1134" w:hanging="567"/>
        <w:jc w:val="both"/>
        <w:rPr>
          <w:rFonts w:ascii="Tahoma" w:eastAsia="Calibri" w:hAnsi="Tahoma" w:cs="Tahoma"/>
          <w:lang w:val="es-ES" w:eastAsia="es-ES"/>
        </w:rPr>
      </w:pPr>
    </w:p>
    <w:p w:rsidR="00A66741" w:rsidRPr="00A66741" w:rsidRDefault="00A66741" w:rsidP="00A66741">
      <w:pPr>
        <w:numPr>
          <w:ilvl w:val="0"/>
          <w:numId w:val="10"/>
        </w:numPr>
        <w:spacing w:after="0" w:line="240" w:lineRule="auto"/>
        <w:ind w:left="1134" w:hanging="567"/>
        <w:contextualSpacing/>
        <w:jc w:val="both"/>
        <w:rPr>
          <w:rFonts w:ascii="Tahoma" w:eastAsia="Calibri" w:hAnsi="Tahoma" w:cs="Tahoma"/>
          <w:lang w:val="es-ES" w:eastAsia="es-ES"/>
        </w:rPr>
      </w:pPr>
      <w:r w:rsidRPr="00A66741">
        <w:rPr>
          <w:rFonts w:ascii="Tahoma" w:eastAsia="Calibri" w:hAnsi="Tahoma" w:cs="Tahoma"/>
          <w:lang w:val="es-ES" w:eastAsia="es-ES"/>
        </w:rPr>
        <w:t>Asimismo, respecto a la factura Nº 001-00119 de fecha 30 de Junio del 2005, emitida a favor de la empresa Orellana &amp; León Abogados y Consultores S.A.C., por un valor ascendente a S./ 15, 418.00, ya existe un pronunciamiento respecto a esta denuncia conforme se aprecia de la Resolución Nº 960-2009-TC-S3, expedida el 31 de Marzo del 2009, del contenido de la precitada resolución nos encontramos que el Tribunal de Contrataciones del Estado, determinó que no correspondía la aplicación de la sanción contra el postor – PROAGRO IMPORT &amp; EXPORT S.A.C., por su responsabilidad en la presentación de documentos falsos y/o inexactos en la Adjudicación Directa Selectiva Nº 164-2005-SEDAPAL.</w:t>
      </w:r>
    </w:p>
    <w:p w:rsidR="00A66741" w:rsidRPr="00A66741" w:rsidRDefault="00A66741" w:rsidP="00A66741">
      <w:pPr>
        <w:spacing w:after="0" w:line="240" w:lineRule="auto"/>
        <w:ind w:left="454"/>
        <w:jc w:val="both"/>
        <w:rPr>
          <w:rFonts w:ascii="Tahoma" w:eastAsia="Calibri" w:hAnsi="Tahoma" w:cs="Tahoma"/>
          <w:lang w:val="es-ES" w:eastAsia="es-ES"/>
        </w:rPr>
      </w:pPr>
    </w:p>
    <w:p w:rsidR="00A66741" w:rsidRPr="00A66741" w:rsidRDefault="00A66741" w:rsidP="00A66741">
      <w:pPr>
        <w:numPr>
          <w:ilvl w:val="0"/>
          <w:numId w:val="10"/>
        </w:numPr>
        <w:spacing w:after="0" w:line="240" w:lineRule="auto"/>
        <w:ind w:left="1134" w:hanging="567"/>
        <w:contextualSpacing/>
        <w:jc w:val="both"/>
        <w:rPr>
          <w:rFonts w:ascii="Tahoma" w:eastAsia="Calibri" w:hAnsi="Tahoma" w:cs="Tahoma"/>
          <w:lang w:val="es-ES" w:eastAsia="es-ES"/>
        </w:rPr>
      </w:pPr>
      <w:r w:rsidRPr="00A66741">
        <w:rPr>
          <w:rFonts w:ascii="Tahoma" w:eastAsia="Calibri" w:hAnsi="Tahoma" w:cs="Tahoma"/>
          <w:lang w:val="es-ES" w:eastAsia="es-ES"/>
        </w:rPr>
        <w:t>Que en tal sentido, resulta de aplicación el principio de presunción de licitud que dispone que las Entidades deben presumir que los administrados han actuado apegados a sus deberes mientras no cuenten con evidencia en contrario. En consecuencia, corresponde declarar no ha lugar a la aplicación de la sanción contra el postor.</w:t>
      </w:r>
    </w:p>
    <w:p w:rsidR="00A66741" w:rsidRPr="00A66741" w:rsidRDefault="00A66741" w:rsidP="00A66741">
      <w:pPr>
        <w:spacing w:after="0" w:line="240" w:lineRule="auto"/>
        <w:ind w:left="1134" w:hanging="567"/>
        <w:jc w:val="both"/>
        <w:rPr>
          <w:rFonts w:ascii="Tahoma" w:eastAsia="Calibri" w:hAnsi="Tahoma" w:cs="Tahoma"/>
          <w:lang w:val="es-ES" w:eastAsia="es-ES"/>
        </w:rPr>
      </w:pPr>
    </w:p>
    <w:p w:rsidR="00A66741" w:rsidRPr="00A66741" w:rsidRDefault="00A66741" w:rsidP="00A66741">
      <w:pPr>
        <w:numPr>
          <w:ilvl w:val="0"/>
          <w:numId w:val="10"/>
        </w:numPr>
        <w:spacing w:after="0" w:line="240" w:lineRule="auto"/>
        <w:ind w:left="1134" w:hanging="567"/>
        <w:contextualSpacing/>
        <w:jc w:val="both"/>
        <w:rPr>
          <w:rFonts w:ascii="Tahoma" w:eastAsia="Calibri" w:hAnsi="Tahoma" w:cs="Tahoma"/>
          <w:lang w:val="es-ES" w:eastAsia="es-ES"/>
        </w:rPr>
      </w:pPr>
      <w:r w:rsidRPr="00A66741">
        <w:rPr>
          <w:rFonts w:ascii="Tahoma" w:eastAsia="Calibri" w:hAnsi="Tahoma" w:cs="Tahoma"/>
          <w:lang w:val="es-ES" w:eastAsia="es-ES"/>
        </w:rPr>
        <w:t>En consecuencia, siendo uno de los principios rectores de la potestad sancionadora el principio Non bis in ídem, que estipula “que no se podrán imponer sucesiva o simultáneamente una pena y una sanción administrativa por el mismo hecho en los casos en que se aprecie la identidad del sujeto, hecho y fundamento”.</w:t>
      </w:r>
    </w:p>
    <w:p w:rsidR="00A66741" w:rsidRPr="00A66741" w:rsidRDefault="00A66741" w:rsidP="00A66741">
      <w:pPr>
        <w:spacing w:after="0" w:line="240" w:lineRule="auto"/>
        <w:ind w:left="720"/>
        <w:contextualSpacing/>
        <w:rPr>
          <w:rFonts w:ascii="Tahoma" w:eastAsia="Calibri" w:hAnsi="Tahoma" w:cs="Tahoma"/>
          <w:lang w:val="es-ES" w:eastAsia="es-ES"/>
        </w:rPr>
      </w:pPr>
    </w:p>
    <w:p w:rsidR="00A66741" w:rsidRPr="00A66741" w:rsidRDefault="00A66741" w:rsidP="00A66741">
      <w:pPr>
        <w:numPr>
          <w:ilvl w:val="0"/>
          <w:numId w:val="10"/>
        </w:numPr>
        <w:spacing w:after="0" w:line="240" w:lineRule="auto"/>
        <w:ind w:left="1134" w:hanging="567"/>
        <w:contextualSpacing/>
        <w:jc w:val="both"/>
        <w:rPr>
          <w:rFonts w:ascii="Tahoma" w:eastAsia="Calibri" w:hAnsi="Tahoma" w:cs="Tahoma"/>
          <w:lang w:val="es-ES" w:eastAsia="es-ES"/>
        </w:rPr>
      </w:pPr>
      <w:r w:rsidRPr="00A66741">
        <w:rPr>
          <w:rFonts w:ascii="Tahoma" w:eastAsia="Calibri" w:hAnsi="Tahoma" w:cs="Tahoma"/>
          <w:lang w:val="es-ES" w:eastAsia="es-ES"/>
        </w:rPr>
        <w:t>Este principio menciona también que “tampoco se podrán imponer dos o más sanciones  administrativas, salvo el supuesto de continuación de infracciones previstas en el mismo cuerpo legal”.</w:t>
      </w:r>
    </w:p>
    <w:p w:rsidR="00A66741" w:rsidRPr="00A66741" w:rsidRDefault="00A66741" w:rsidP="00A66741">
      <w:pPr>
        <w:spacing w:after="0" w:line="240" w:lineRule="auto"/>
        <w:ind w:left="720"/>
        <w:contextualSpacing/>
        <w:rPr>
          <w:rFonts w:ascii="Tahoma" w:eastAsia="Calibri" w:hAnsi="Tahoma" w:cs="Tahoma"/>
          <w:lang w:val="es-ES" w:eastAsia="es-ES"/>
        </w:rPr>
      </w:pPr>
    </w:p>
    <w:p w:rsidR="00A66741" w:rsidRPr="00A66741" w:rsidRDefault="00A66741" w:rsidP="00A66741">
      <w:pPr>
        <w:numPr>
          <w:ilvl w:val="0"/>
          <w:numId w:val="10"/>
        </w:numPr>
        <w:spacing w:after="0" w:line="240" w:lineRule="auto"/>
        <w:ind w:left="1134" w:hanging="567"/>
        <w:contextualSpacing/>
        <w:jc w:val="both"/>
        <w:rPr>
          <w:rFonts w:ascii="Tahoma" w:eastAsia="Calibri" w:hAnsi="Tahoma" w:cs="Tahoma"/>
          <w:lang w:val="es-ES" w:eastAsia="es-ES"/>
        </w:rPr>
      </w:pPr>
      <w:r w:rsidRPr="00A66741">
        <w:rPr>
          <w:rFonts w:ascii="Tahoma" w:eastAsia="Calibri" w:hAnsi="Tahoma" w:cs="Tahoma"/>
          <w:lang w:val="es-ES" w:eastAsia="es-ES"/>
        </w:rPr>
        <w:lastRenderedPageBreak/>
        <w:t>Que para los efectos del ámbito administrativo, este principio debe ser interpretado de tal forma que “un administrado no podrá ser procesado a través de un procedimiento administrativo sancionador dos veces por los mismos hechos ya sea simultánea o sucesivamente en el tiempo”. Este criterio ha sido recogido por el Tribunal Constitucional “El debido proceso en las decisiones”, cuando señala que el principio non bis in ídem, que “impide a la administración a juzgar y sancionar dos veces por el mismo asunto”.</w:t>
      </w:r>
    </w:p>
    <w:p w:rsidR="00A66741" w:rsidRPr="00A66741" w:rsidRDefault="00A66741" w:rsidP="00A66741">
      <w:pPr>
        <w:spacing w:after="0" w:line="240" w:lineRule="auto"/>
        <w:ind w:left="720"/>
        <w:contextualSpacing/>
        <w:rPr>
          <w:rFonts w:ascii="Tahoma" w:eastAsia="Calibri" w:hAnsi="Tahoma" w:cs="Tahoma"/>
          <w:lang w:val="es-ES" w:eastAsia="es-ES"/>
        </w:rPr>
      </w:pPr>
    </w:p>
    <w:p w:rsidR="00A66741" w:rsidRPr="00A66741" w:rsidRDefault="00A66741" w:rsidP="00A66741">
      <w:pPr>
        <w:numPr>
          <w:ilvl w:val="0"/>
          <w:numId w:val="10"/>
        </w:numPr>
        <w:spacing w:after="0" w:line="240" w:lineRule="auto"/>
        <w:ind w:left="1134" w:hanging="567"/>
        <w:contextualSpacing/>
        <w:jc w:val="both"/>
        <w:rPr>
          <w:rFonts w:ascii="Tahoma" w:eastAsia="Calibri" w:hAnsi="Tahoma" w:cs="Tahoma"/>
          <w:lang w:val="es-ES" w:eastAsia="es-ES"/>
        </w:rPr>
      </w:pPr>
      <w:r w:rsidRPr="00A66741">
        <w:rPr>
          <w:rFonts w:ascii="Tahoma" w:eastAsia="Calibri" w:hAnsi="Tahoma" w:cs="Tahoma"/>
          <w:lang w:val="es-ES" w:eastAsia="es-ES"/>
        </w:rPr>
        <w:t>De lo glosado, debe entenderse que el juzgamiento se da en torno a la evaluación de los hechos, determinando posteriormente sí corresponde sancionar o no sancionar al administrado. En ese sentido el Tribunal constitucional no hace distinción en la aplicación del Non bis in Idem administrativo, siendo incluso que el mismo puede estar referido a diversos procesamientos del administrado por los mismos hechos, no importando el resultado.</w:t>
      </w:r>
    </w:p>
    <w:p w:rsidR="00A66741" w:rsidRPr="00A66741" w:rsidRDefault="00A66741" w:rsidP="00A66741">
      <w:pPr>
        <w:spacing w:after="0" w:line="240" w:lineRule="auto"/>
        <w:ind w:left="720"/>
        <w:contextualSpacing/>
        <w:rPr>
          <w:rFonts w:ascii="Tahoma" w:eastAsia="Calibri" w:hAnsi="Tahoma" w:cs="Tahoma"/>
          <w:lang w:val="es-ES" w:eastAsia="es-ES"/>
        </w:rPr>
      </w:pPr>
    </w:p>
    <w:p w:rsidR="00A66741" w:rsidRPr="00A66741" w:rsidRDefault="00A66741" w:rsidP="00A66741">
      <w:pPr>
        <w:numPr>
          <w:ilvl w:val="0"/>
          <w:numId w:val="10"/>
        </w:numPr>
        <w:spacing w:after="0" w:line="240" w:lineRule="auto"/>
        <w:ind w:left="1134" w:hanging="567"/>
        <w:contextualSpacing/>
        <w:jc w:val="both"/>
        <w:rPr>
          <w:rFonts w:ascii="Tahoma" w:eastAsia="Calibri" w:hAnsi="Tahoma" w:cs="Tahoma"/>
          <w:lang w:val="es-ES" w:eastAsia="es-ES"/>
        </w:rPr>
      </w:pPr>
      <w:r w:rsidRPr="00A66741">
        <w:rPr>
          <w:rFonts w:ascii="Tahoma" w:eastAsia="Calibri" w:hAnsi="Tahoma" w:cs="Tahoma"/>
          <w:lang w:val="es-ES" w:eastAsia="es-ES"/>
        </w:rPr>
        <w:t>De esta forma, ha quedado establecido en forma fehaciente e indubitable, los tres (03) requisitos exigidos:</w:t>
      </w:r>
    </w:p>
    <w:p w:rsidR="00A66741" w:rsidRPr="00A66741" w:rsidRDefault="00A66741" w:rsidP="00A66741">
      <w:pPr>
        <w:spacing w:after="0" w:line="240" w:lineRule="auto"/>
        <w:ind w:left="720"/>
        <w:contextualSpacing/>
        <w:rPr>
          <w:rFonts w:ascii="Tahoma" w:eastAsia="Calibri" w:hAnsi="Tahoma" w:cs="Tahoma"/>
          <w:lang w:val="es-ES" w:eastAsia="es-ES"/>
        </w:rPr>
      </w:pPr>
    </w:p>
    <w:p w:rsidR="00A66741" w:rsidRPr="00A66741" w:rsidRDefault="00A66741" w:rsidP="00A66741">
      <w:pPr>
        <w:numPr>
          <w:ilvl w:val="0"/>
          <w:numId w:val="9"/>
        </w:numPr>
        <w:spacing w:after="0" w:line="240" w:lineRule="auto"/>
        <w:ind w:left="1418" w:hanging="284"/>
        <w:contextualSpacing/>
        <w:jc w:val="both"/>
        <w:rPr>
          <w:rFonts w:ascii="Tahoma" w:eastAsia="Times New Roman" w:hAnsi="Tahoma" w:cs="Tahoma"/>
          <w:u w:val="single"/>
          <w:lang w:val="es-ES" w:eastAsia="es-ES"/>
        </w:rPr>
      </w:pPr>
      <w:r w:rsidRPr="00A66741">
        <w:rPr>
          <w:rFonts w:ascii="Tahoma" w:eastAsia="Calibri" w:hAnsi="Tahoma" w:cs="Tahoma"/>
          <w:lang w:val="es-ES" w:eastAsia="es-ES"/>
        </w:rPr>
        <w:t>Sujeto (el postor PROAGRO IMPORT &amp; EXPORT SOCIEDAD ANONIMA CERRADA).</w:t>
      </w:r>
    </w:p>
    <w:p w:rsidR="00A66741" w:rsidRPr="00A66741" w:rsidRDefault="00A66741" w:rsidP="00A66741">
      <w:pPr>
        <w:spacing w:after="0" w:line="240" w:lineRule="auto"/>
        <w:ind w:left="1418" w:hanging="284"/>
        <w:contextualSpacing/>
        <w:jc w:val="both"/>
        <w:rPr>
          <w:rFonts w:ascii="Tahoma" w:eastAsia="Times New Roman" w:hAnsi="Tahoma" w:cs="Tahoma"/>
          <w:u w:val="single"/>
          <w:lang w:val="es-ES" w:eastAsia="es-ES"/>
        </w:rPr>
      </w:pPr>
    </w:p>
    <w:p w:rsidR="00A66741" w:rsidRPr="00A66741" w:rsidRDefault="00A66741" w:rsidP="00A66741">
      <w:pPr>
        <w:numPr>
          <w:ilvl w:val="0"/>
          <w:numId w:val="9"/>
        </w:numPr>
        <w:spacing w:after="0" w:line="240" w:lineRule="auto"/>
        <w:ind w:left="1418" w:hanging="284"/>
        <w:contextualSpacing/>
        <w:jc w:val="both"/>
        <w:rPr>
          <w:rFonts w:ascii="Tahoma" w:eastAsia="Times New Roman" w:hAnsi="Tahoma" w:cs="Tahoma"/>
          <w:u w:val="single"/>
          <w:lang w:val="es-ES" w:eastAsia="es-ES"/>
        </w:rPr>
      </w:pPr>
      <w:r w:rsidRPr="00A66741">
        <w:rPr>
          <w:rFonts w:ascii="Tahoma" w:eastAsia="Calibri" w:hAnsi="Tahoma" w:cs="Tahoma"/>
          <w:lang w:val="es-ES" w:eastAsia="es-ES"/>
        </w:rPr>
        <w:t>Hechos (la presentación de su propuesta en el proceso de selección por Adjudicación Directa Pública Nº 004-2008-MTC-2010); y,</w:t>
      </w:r>
    </w:p>
    <w:p w:rsidR="00A66741" w:rsidRPr="00A66741" w:rsidRDefault="00A66741" w:rsidP="00A66741">
      <w:pPr>
        <w:spacing w:after="0" w:line="240" w:lineRule="auto"/>
        <w:ind w:left="1418" w:hanging="284"/>
        <w:contextualSpacing/>
        <w:rPr>
          <w:rFonts w:ascii="Tahoma" w:eastAsia="Calibri" w:hAnsi="Tahoma" w:cs="Tahoma"/>
          <w:lang w:val="es-ES" w:eastAsia="es-ES"/>
        </w:rPr>
      </w:pPr>
    </w:p>
    <w:p w:rsidR="00A66741" w:rsidRPr="00A66741" w:rsidRDefault="00A66741" w:rsidP="00A66741">
      <w:pPr>
        <w:numPr>
          <w:ilvl w:val="0"/>
          <w:numId w:val="9"/>
        </w:numPr>
        <w:spacing w:after="0" w:line="240" w:lineRule="auto"/>
        <w:ind w:left="1418" w:hanging="284"/>
        <w:contextualSpacing/>
        <w:jc w:val="both"/>
        <w:rPr>
          <w:rFonts w:ascii="Tahoma" w:eastAsia="Times New Roman" w:hAnsi="Tahoma" w:cs="Tahoma"/>
          <w:u w:val="single"/>
          <w:lang w:val="es-ES" w:eastAsia="es-ES"/>
        </w:rPr>
      </w:pPr>
      <w:r w:rsidRPr="00A66741">
        <w:rPr>
          <w:rFonts w:ascii="Tahoma" w:eastAsia="Calibri" w:hAnsi="Tahoma" w:cs="Tahoma"/>
          <w:lang w:val="es-ES" w:eastAsia="es-ES"/>
        </w:rPr>
        <w:t>Fundamentos (documentación falsa y/o inexacta en su propuesta)</w:t>
      </w:r>
    </w:p>
    <w:p w:rsidR="00A66741" w:rsidRPr="00A66741" w:rsidRDefault="00A66741" w:rsidP="00A66741">
      <w:pPr>
        <w:spacing w:after="0" w:line="240" w:lineRule="auto"/>
        <w:ind w:left="1418" w:hanging="284"/>
        <w:contextualSpacing/>
        <w:rPr>
          <w:rFonts w:ascii="Tahoma" w:eastAsia="Calibri" w:hAnsi="Tahoma" w:cs="Tahoma"/>
          <w:lang w:val="es-ES" w:eastAsia="es-ES"/>
        </w:rPr>
      </w:pPr>
    </w:p>
    <w:p w:rsidR="00A66741" w:rsidRPr="00A66741" w:rsidRDefault="00A66741" w:rsidP="00A66741">
      <w:pPr>
        <w:spacing w:after="0" w:line="240" w:lineRule="auto"/>
        <w:ind w:left="1134"/>
        <w:jc w:val="both"/>
        <w:rPr>
          <w:rFonts w:ascii="Tahoma" w:eastAsia="Calibri" w:hAnsi="Tahoma" w:cs="Tahoma"/>
          <w:lang w:val="es-ES" w:eastAsia="es-ES"/>
        </w:rPr>
      </w:pPr>
      <w:r w:rsidRPr="00A66741">
        <w:rPr>
          <w:rFonts w:ascii="Tahoma" w:eastAsia="Calibri" w:hAnsi="Tahoma" w:cs="Tahoma"/>
          <w:lang w:val="es-ES" w:eastAsia="es-ES"/>
        </w:rPr>
        <w:t>Configurándose de esta manera los supuestos necesarios para la aplicación del principio Non bis in Idem.</w:t>
      </w:r>
    </w:p>
    <w:p w:rsidR="00A66741" w:rsidRPr="00A66741" w:rsidRDefault="00A66741" w:rsidP="00A66741">
      <w:pPr>
        <w:spacing w:after="0" w:line="240" w:lineRule="auto"/>
        <w:ind w:left="1134"/>
        <w:jc w:val="both"/>
        <w:rPr>
          <w:rFonts w:ascii="Tahoma" w:eastAsia="Calibri" w:hAnsi="Tahoma" w:cs="Tahoma"/>
          <w:lang w:val="es-ES" w:eastAsia="es-ES"/>
        </w:rPr>
      </w:pPr>
    </w:p>
    <w:p w:rsidR="00A66741" w:rsidRPr="00A66741" w:rsidRDefault="00A66741" w:rsidP="00A66741">
      <w:pPr>
        <w:numPr>
          <w:ilvl w:val="0"/>
          <w:numId w:val="10"/>
        </w:numPr>
        <w:spacing w:after="0" w:line="240" w:lineRule="auto"/>
        <w:ind w:left="1134" w:hanging="567"/>
        <w:contextualSpacing/>
        <w:jc w:val="both"/>
        <w:rPr>
          <w:rFonts w:ascii="Tahoma" w:eastAsia="Calibri" w:hAnsi="Tahoma" w:cs="Tahoma"/>
          <w:lang w:val="es-ES" w:eastAsia="es-ES"/>
        </w:rPr>
      </w:pPr>
      <w:r w:rsidRPr="00A66741">
        <w:rPr>
          <w:rFonts w:ascii="Tahoma" w:eastAsia="Calibri" w:hAnsi="Tahoma" w:cs="Tahoma"/>
          <w:lang w:val="es-ES" w:eastAsia="es-ES"/>
        </w:rPr>
        <w:t xml:space="preserve">Por los fundamentos glosados, consideramos que carece de objeto abrir procedimiento administrativo sancionador contra mi representada, máxime si existe pronunciamiento por la cuarta sala del Tribunal de Contrataciones del Estado, en el Expediente Nº 259-2010 (Adjudicación Directa Selectiva Nº 164-2005-SEDAPAL), y en el Expediente Nº 261-2010 (Adjudicación Directa Selectiva Nº 157-2009-SEDAPAL); y en consecuencia debe de resolverse; declarando no ha lugar el inicio del procedimiento administrativo sancionador contra la empresa PROAGRO IMPORT &amp; EXPORT SOCIEDAD ANONIMA CERRADA, por su responsabilidad en la presentación de documentación falsa </w:t>
      </w:r>
      <w:r w:rsidRPr="00A66741">
        <w:rPr>
          <w:rFonts w:ascii="Tahoma" w:eastAsia="Calibri" w:hAnsi="Tahoma" w:cs="Tahoma"/>
          <w:lang w:val="es-ES" w:eastAsia="es-ES"/>
        </w:rPr>
        <w:lastRenderedPageBreak/>
        <w:t xml:space="preserve">y/o inexacta en el proceso de selección por Adjudicación Directa Pública Nº 004-2008-MTC-2010). (…)” (SIC).  </w:t>
      </w:r>
    </w:p>
    <w:p w:rsidR="00A66741" w:rsidRPr="00A66741" w:rsidRDefault="00A66741" w:rsidP="00A66741">
      <w:pPr>
        <w:spacing w:after="0" w:line="240" w:lineRule="auto"/>
        <w:ind w:left="720"/>
        <w:contextualSpacing/>
        <w:rPr>
          <w:rFonts w:ascii="Tahoma" w:eastAsia="Calibri" w:hAnsi="Tahoma" w:cs="Tahoma"/>
          <w:lang w:val="es-ES" w:eastAsia="es-ES"/>
        </w:rPr>
      </w:pPr>
    </w:p>
    <w:p w:rsidR="00A66741" w:rsidRPr="00A66741" w:rsidRDefault="00A66741" w:rsidP="00180973">
      <w:pPr>
        <w:numPr>
          <w:ilvl w:val="0"/>
          <w:numId w:val="7"/>
        </w:numPr>
        <w:tabs>
          <w:tab w:val="clear" w:pos="454"/>
          <w:tab w:val="num" w:pos="567"/>
        </w:tabs>
        <w:spacing w:after="0" w:line="240" w:lineRule="auto"/>
        <w:ind w:left="567" w:hanging="567"/>
        <w:contextualSpacing/>
        <w:jc w:val="both"/>
        <w:rPr>
          <w:rFonts w:ascii="Tahoma" w:eastAsia="Times New Roman" w:hAnsi="Tahoma" w:cs="Tahoma"/>
          <w:lang w:val="es-ES" w:eastAsia="es-ES"/>
        </w:rPr>
      </w:pPr>
      <w:r w:rsidRPr="00A66741">
        <w:rPr>
          <w:rFonts w:ascii="Tahoma" w:eastAsia="Times New Roman" w:hAnsi="Tahoma" w:cs="Tahoma"/>
          <w:lang w:val="es-ES" w:eastAsia="es-ES"/>
        </w:rPr>
        <w:t>Con decreto de fecha 23 de Junio de 2011, se tuvo por apersonada a la empresa PROAGRO IMPORT &amp; EXPORT SOCIEDAD ANONIMA CERRADA, remitiendo el presente expediente a la Cuarta Sala del Tribunal para que resuelva.</w:t>
      </w:r>
    </w:p>
    <w:p w:rsidR="00A66741" w:rsidRPr="00A66741" w:rsidRDefault="00A66741" w:rsidP="00180973">
      <w:pPr>
        <w:tabs>
          <w:tab w:val="num" w:pos="567"/>
        </w:tabs>
        <w:spacing w:after="0" w:line="240" w:lineRule="auto"/>
        <w:ind w:left="567"/>
        <w:contextualSpacing/>
        <w:jc w:val="both"/>
        <w:rPr>
          <w:rFonts w:ascii="Tahoma" w:eastAsia="Times New Roman" w:hAnsi="Tahoma" w:cs="Tahoma"/>
          <w:lang w:val="es-ES" w:eastAsia="es-ES"/>
        </w:rPr>
      </w:pPr>
    </w:p>
    <w:p w:rsidR="00A66741" w:rsidRPr="00A66741" w:rsidRDefault="00A66741" w:rsidP="00180973">
      <w:pPr>
        <w:numPr>
          <w:ilvl w:val="0"/>
          <w:numId w:val="7"/>
        </w:numPr>
        <w:tabs>
          <w:tab w:val="clear" w:pos="454"/>
          <w:tab w:val="num" w:pos="567"/>
        </w:tabs>
        <w:spacing w:after="0" w:line="240" w:lineRule="auto"/>
        <w:ind w:left="567" w:hanging="567"/>
        <w:contextualSpacing/>
        <w:jc w:val="both"/>
        <w:rPr>
          <w:rFonts w:ascii="Tahoma" w:eastAsia="Times New Roman" w:hAnsi="Tahoma" w:cs="Tahoma"/>
          <w:lang w:val="es-ES" w:eastAsia="es-ES"/>
        </w:rPr>
      </w:pPr>
      <w:r w:rsidRPr="00A66741">
        <w:rPr>
          <w:rFonts w:ascii="Tahoma" w:eastAsia="Times New Roman" w:hAnsi="Tahoma" w:cs="Tahoma"/>
          <w:lang w:val="es-ES" w:eastAsia="es-ES"/>
        </w:rPr>
        <w:t>Con decreto de fecha 07 de Julio de 2011, la Cuarta Sala del Tribunal, requirió la siguiente información adicional:</w:t>
      </w:r>
    </w:p>
    <w:p w:rsidR="00A66741" w:rsidRPr="00A66741" w:rsidRDefault="00A66741" w:rsidP="00A66741">
      <w:pPr>
        <w:spacing w:after="0" w:line="240" w:lineRule="auto"/>
        <w:jc w:val="both"/>
        <w:rPr>
          <w:rFonts w:ascii="Tahoma" w:eastAsia="Times New Roman" w:hAnsi="Tahoma" w:cs="Tahoma"/>
          <w:lang w:val="es-ES" w:eastAsia="es-ES"/>
        </w:rPr>
      </w:pPr>
    </w:p>
    <w:p w:rsidR="00A66741" w:rsidRPr="00A66741" w:rsidRDefault="00A66741" w:rsidP="00A66741">
      <w:pPr>
        <w:spacing w:after="0" w:line="240" w:lineRule="auto"/>
        <w:ind w:left="567"/>
        <w:jc w:val="both"/>
        <w:rPr>
          <w:rFonts w:ascii="Tahoma" w:eastAsia="Times New Roman" w:hAnsi="Tahoma" w:cs="Tahoma"/>
          <w:b/>
          <w:lang w:val="es-ES" w:eastAsia="es-ES"/>
        </w:rPr>
      </w:pPr>
      <w:r w:rsidRPr="00A66741">
        <w:rPr>
          <w:rFonts w:ascii="Tahoma" w:eastAsia="Times New Roman" w:hAnsi="Tahoma" w:cs="Tahoma"/>
          <w:b/>
          <w:lang w:val="es-ES" w:eastAsia="es-ES"/>
        </w:rPr>
        <w:t>A LA EMPRESA ORELLANA &amp; LEON ABOGADOS Y CONSULTORES S.A.C.</w:t>
      </w:r>
    </w:p>
    <w:p w:rsidR="00A66741" w:rsidRPr="00A66741" w:rsidRDefault="00A66741" w:rsidP="00A66741">
      <w:pPr>
        <w:spacing w:after="0" w:line="240" w:lineRule="auto"/>
        <w:ind w:left="567"/>
        <w:jc w:val="both"/>
        <w:rPr>
          <w:rFonts w:ascii="Tahoma" w:eastAsia="Times New Roman" w:hAnsi="Tahoma" w:cs="Tahoma"/>
          <w:lang w:val="es-ES" w:eastAsia="es-ES"/>
        </w:rPr>
      </w:pPr>
    </w:p>
    <w:p w:rsidR="00A66741" w:rsidRPr="00A66741" w:rsidRDefault="00A66741" w:rsidP="00A66741">
      <w:pPr>
        <w:tabs>
          <w:tab w:val="num" w:pos="540"/>
        </w:tabs>
        <w:spacing w:after="0" w:line="240" w:lineRule="auto"/>
        <w:ind w:left="567"/>
        <w:jc w:val="both"/>
        <w:rPr>
          <w:rFonts w:ascii="Tahoma" w:eastAsia="Times New Roman" w:hAnsi="Tahoma" w:cs="Tahoma"/>
          <w:lang w:val="es-ES_tradnl" w:eastAsia="es-ES"/>
        </w:rPr>
      </w:pPr>
      <w:r w:rsidRPr="00A66741">
        <w:rPr>
          <w:rFonts w:ascii="Tahoma" w:eastAsia="Times New Roman" w:hAnsi="Tahoma" w:cs="Tahoma"/>
          <w:lang w:val="es-ES_tradnl" w:eastAsia="es-ES"/>
        </w:rPr>
        <w:t xml:space="preserve">Sírvase dar conformidad a la autenticidad y al contenido de la Factura Nº 001-00119 de fecha 30 de junio de 2005, </w:t>
      </w:r>
      <w:r w:rsidRPr="00A66741">
        <w:rPr>
          <w:rFonts w:ascii="Tahoma" w:eastAsia="Times New Roman" w:hAnsi="Tahoma" w:cs="Tahoma"/>
          <w:u w:val="single"/>
          <w:lang w:val="es-ES_tradnl" w:eastAsia="es-ES"/>
        </w:rPr>
        <w:t>la cual se adjunta</w:t>
      </w:r>
      <w:r w:rsidRPr="00A66741">
        <w:rPr>
          <w:rFonts w:ascii="Tahoma" w:eastAsia="Times New Roman" w:hAnsi="Tahoma" w:cs="Tahoma"/>
          <w:lang w:val="es-ES_tradnl" w:eastAsia="es-ES"/>
        </w:rPr>
        <w:t>, la misma que fue otorgada a su representada por la suma de S./ 15, 418.00.</w:t>
      </w:r>
    </w:p>
    <w:p w:rsidR="00A66741" w:rsidRPr="00A66741" w:rsidRDefault="00A66741" w:rsidP="00A66741">
      <w:pPr>
        <w:tabs>
          <w:tab w:val="num" w:pos="540"/>
        </w:tabs>
        <w:spacing w:after="0" w:line="240" w:lineRule="auto"/>
        <w:ind w:left="567"/>
        <w:jc w:val="both"/>
        <w:rPr>
          <w:rFonts w:ascii="Tahoma" w:eastAsia="Times New Roman" w:hAnsi="Tahoma" w:cs="Tahoma"/>
          <w:lang w:val="es-ES_tradnl" w:eastAsia="es-ES"/>
        </w:rPr>
      </w:pPr>
    </w:p>
    <w:p w:rsidR="00A66741" w:rsidRPr="00A66741" w:rsidRDefault="00A66741" w:rsidP="00180973">
      <w:pPr>
        <w:numPr>
          <w:ilvl w:val="0"/>
          <w:numId w:val="7"/>
        </w:numPr>
        <w:tabs>
          <w:tab w:val="clear" w:pos="454"/>
          <w:tab w:val="num" w:pos="567"/>
        </w:tabs>
        <w:spacing w:after="0" w:line="240" w:lineRule="auto"/>
        <w:ind w:left="567" w:hanging="567"/>
        <w:contextualSpacing/>
        <w:jc w:val="both"/>
        <w:rPr>
          <w:rFonts w:ascii="Tahoma" w:eastAsia="Times New Roman" w:hAnsi="Tahoma" w:cs="Tahoma"/>
          <w:lang w:val="es-ES" w:eastAsia="es-ES"/>
        </w:rPr>
      </w:pPr>
      <w:r w:rsidRPr="00A66741">
        <w:rPr>
          <w:rFonts w:ascii="Tahoma" w:eastAsia="Times New Roman" w:hAnsi="Tahoma" w:cs="Tahoma"/>
          <w:lang w:val="es-ES" w:eastAsia="es-ES"/>
        </w:rPr>
        <w:t>Con decreto de fecha 10 de Agosto de 2011, la Cuarta Sala del Tribunal, requirió la siguiente información adicional:</w:t>
      </w:r>
    </w:p>
    <w:p w:rsidR="00A66741" w:rsidRPr="00A66741" w:rsidRDefault="00A66741" w:rsidP="00180973">
      <w:pPr>
        <w:tabs>
          <w:tab w:val="num" w:pos="567"/>
        </w:tabs>
        <w:spacing w:after="0" w:line="240" w:lineRule="auto"/>
        <w:ind w:left="567"/>
        <w:contextualSpacing/>
        <w:jc w:val="both"/>
        <w:rPr>
          <w:rFonts w:ascii="Tahoma" w:eastAsia="Times New Roman" w:hAnsi="Tahoma" w:cs="Tahoma"/>
          <w:lang w:val="es-ES" w:eastAsia="es-ES"/>
        </w:rPr>
      </w:pPr>
    </w:p>
    <w:p w:rsidR="00A66741" w:rsidRPr="00A66741" w:rsidRDefault="00A66741" w:rsidP="00A66741">
      <w:pPr>
        <w:spacing w:after="0" w:line="240" w:lineRule="auto"/>
        <w:ind w:left="567"/>
        <w:jc w:val="both"/>
        <w:rPr>
          <w:rFonts w:ascii="Tahoma" w:eastAsia="Times New Roman" w:hAnsi="Tahoma" w:cs="Tahoma"/>
          <w:b/>
          <w:lang w:val="es-ES" w:eastAsia="es-ES"/>
        </w:rPr>
      </w:pPr>
      <w:r w:rsidRPr="00A66741">
        <w:rPr>
          <w:rFonts w:ascii="Tahoma" w:eastAsia="Times New Roman" w:hAnsi="Tahoma" w:cs="Tahoma"/>
          <w:b/>
          <w:lang w:val="es-ES" w:eastAsia="es-ES"/>
        </w:rPr>
        <w:t>A LA EMPRESA PROAGRO IMPORT &amp; EXPORT S.A.C.</w:t>
      </w:r>
    </w:p>
    <w:p w:rsidR="00A66741" w:rsidRPr="00A66741" w:rsidRDefault="00A66741" w:rsidP="00A66741">
      <w:pPr>
        <w:spacing w:after="0" w:line="240" w:lineRule="auto"/>
        <w:ind w:left="567"/>
        <w:jc w:val="both"/>
        <w:rPr>
          <w:rFonts w:ascii="Tahoma" w:eastAsia="Times New Roman" w:hAnsi="Tahoma" w:cs="Tahoma"/>
          <w:lang w:val="es-ES" w:eastAsia="es-ES"/>
        </w:rPr>
      </w:pPr>
    </w:p>
    <w:p w:rsidR="00A66741" w:rsidRPr="00A66741" w:rsidRDefault="00A66741" w:rsidP="00A66741">
      <w:pPr>
        <w:tabs>
          <w:tab w:val="num" w:pos="540"/>
        </w:tabs>
        <w:spacing w:after="0" w:line="240" w:lineRule="auto"/>
        <w:ind w:left="567"/>
        <w:jc w:val="both"/>
        <w:rPr>
          <w:rFonts w:ascii="Tahoma" w:eastAsia="Times New Roman" w:hAnsi="Tahoma" w:cs="Tahoma"/>
          <w:lang w:val="es-ES_tradnl" w:eastAsia="es-ES"/>
        </w:rPr>
      </w:pPr>
      <w:r w:rsidRPr="00A66741">
        <w:rPr>
          <w:rFonts w:ascii="Tahoma" w:eastAsia="Times New Roman" w:hAnsi="Tahoma" w:cs="Tahoma"/>
          <w:lang w:val="es-ES_tradnl" w:eastAsia="es-ES"/>
        </w:rPr>
        <w:t>Sírvase remitir copia legalizada de la  Factura Nº 001-00119 de fecha 30 de junio de 2005, así como copia de su libro de Registro de ventas del mes de junio del 2005, a fin de determinar si efectivamente dicho servicio había sido realizado a favor de la empresa Orellana Abogados y Consultores S.A.C.</w:t>
      </w:r>
    </w:p>
    <w:p w:rsidR="00A66741" w:rsidRPr="00A66741" w:rsidRDefault="00A66741" w:rsidP="00A66741">
      <w:pPr>
        <w:tabs>
          <w:tab w:val="num" w:pos="540"/>
        </w:tabs>
        <w:spacing w:after="0" w:line="240" w:lineRule="auto"/>
        <w:ind w:left="567"/>
        <w:jc w:val="both"/>
        <w:rPr>
          <w:rFonts w:ascii="Tahoma" w:eastAsia="Times New Roman" w:hAnsi="Tahoma" w:cs="Tahoma"/>
          <w:lang w:val="es-ES_tradnl" w:eastAsia="es-ES"/>
        </w:rPr>
      </w:pPr>
    </w:p>
    <w:p w:rsidR="00A66741" w:rsidRPr="00A66741" w:rsidRDefault="00A66741" w:rsidP="00A66741">
      <w:pPr>
        <w:tabs>
          <w:tab w:val="num" w:pos="540"/>
        </w:tabs>
        <w:spacing w:after="0" w:line="240" w:lineRule="auto"/>
        <w:ind w:left="567"/>
        <w:jc w:val="both"/>
        <w:rPr>
          <w:rFonts w:ascii="Tahoma" w:eastAsia="Times New Roman" w:hAnsi="Tahoma" w:cs="Tahoma"/>
          <w:b/>
          <w:lang w:val="es-ES_tradnl" w:eastAsia="es-ES"/>
        </w:rPr>
      </w:pPr>
      <w:r w:rsidRPr="00A66741">
        <w:rPr>
          <w:rFonts w:ascii="Tahoma" w:eastAsia="Times New Roman" w:hAnsi="Tahoma" w:cs="Tahoma"/>
          <w:b/>
          <w:lang w:val="es-ES_tradnl" w:eastAsia="es-ES"/>
        </w:rPr>
        <w:t>A LA SUPERINTENDENCIA NACIONAL DE ADMINISTRACIÓN TRIBUTARIA - SUNAT</w:t>
      </w:r>
    </w:p>
    <w:p w:rsidR="00A66741" w:rsidRPr="00A66741" w:rsidRDefault="00A66741" w:rsidP="00A66741">
      <w:pPr>
        <w:tabs>
          <w:tab w:val="num" w:pos="540"/>
        </w:tabs>
        <w:spacing w:after="0" w:line="240" w:lineRule="auto"/>
        <w:ind w:left="567"/>
        <w:jc w:val="both"/>
        <w:rPr>
          <w:rFonts w:ascii="Tahoma" w:eastAsia="Times New Roman" w:hAnsi="Tahoma" w:cs="Tahoma"/>
          <w:lang w:val="es-ES_tradnl" w:eastAsia="es-ES"/>
        </w:rPr>
      </w:pPr>
    </w:p>
    <w:p w:rsidR="00A66741" w:rsidRPr="00A66741" w:rsidRDefault="00A66741" w:rsidP="00A66741">
      <w:pPr>
        <w:spacing w:after="0" w:line="240" w:lineRule="auto"/>
        <w:ind w:left="567"/>
        <w:contextualSpacing/>
        <w:jc w:val="both"/>
        <w:rPr>
          <w:rFonts w:ascii="Tahoma" w:eastAsia="Times New Roman" w:hAnsi="Tahoma" w:cs="Tahoma"/>
          <w:lang w:val="es-ES_tradnl" w:eastAsia="es-ES"/>
        </w:rPr>
      </w:pPr>
      <w:r w:rsidRPr="00A66741">
        <w:rPr>
          <w:rFonts w:ascii="Tahoma" w:eastAsia="Calibri" w:hAnsi="Tahoma" w:cs="Tahoma"/>
          <w:lang w:val="es-ES_tradnl" w:eastAsia="es-ES"/>
        </w:rPr>
        <w:t>Sírvase informar si</w:t>
      </w:r>
      <w:r w:rsidRPr="00A66741">
        <w:rPr>
          <w:rFonts w:ascii="Tahoma" w:eastAsia="Times New Roman" w:hAnsi="Tahoma" w:cs="Tahoma"/>
          <w:lang w:val="es-ES_tradnl" w:eastAsia="es-ES"/>
        </w:rPr>
        <w:t xml:space="preserve"> la  Factura Nº 001-00119 de fecha 30 de junio de 2005 (cuya copia se adjunta), había sido declarada por la empresa Orellana Abogados y Consultores S.A.C. (hoy Abogados Peruanos Asociados S.A.C.), como gasto para el ejercicio 2005.</w:t>
      </w:r>
    </w:p>
    <w:p w:rsidR="00A66741" w:rsidRPr="00A66741" w:rsidRDefault="00A66741" w:rsidP="00A66741">
      <w:pPr>
        <w:spacing w:after="0" w:line="240" w:lineRule="auto"/>
        <w:ind w:left="567"/>
        <w:contextualSpacing/>
        <w:jc w:val="both"/>
        <w:rPr>
          <w:rFonts w:ascii="Tahoma" w:eastAsia="Times New Roman" w:hAnsi="Tahoma" w:cs="Tahoma"/>
          <w:lang w:val="es-ES" w:eastAsia="es-ES"/>
        </w:rPr>
      </w:pPr>
    </w:p>
    <w:p w:rsidR="00A66741" w:rsidRPr="00A66741" w:rsidRDefault="00A66741" w:rsidP="00180973">
      <w:pPr>
        <w:numPr>
          <w:ilvl w:val="0"/>
          <w:numId w:val="7"/>
        </w:numPr>
        <w:tabs>
          <w:tab w:val="clear" w:pos="454"/>
          <w:tab w:val="num" w:pos="540"/>
          <w:tab w:val="num" w:pos="567"/>
        </w:tabs>
        <w:spacing w:after="0" w:line="240" w:lineRule="auto"/>
        <w:ind w:left="567" w:hanging="567"/>
        <w:contextualSpacing/>
        <w:jc w:val="both"/>
        <w:rPr>
          <w:rFonts w:ascii="Tahoma" w:eastAsia="Times New Roman" w:hAnsi="Tahoma" w:cs="Tahoma"/>
          <w:lang w:val="es-ES_tradnl" w:eastAsia="es-ES"/>
        </w:rPr>
      </w:pPr>
      <w:r w:rsidRPr="00A66741">
        <w:rPr>
          <w:rFonts w:ascii="Tahoma" w:eastAsia="Times New Roman" w:hAnsi="Tahoma" w:cs="Tahoma"/>
          <w:lang w:val="es-ES" w:eastAsia="es-ES"/>
        </w:rPr>
        <w:t xml:space="preserve">Con escrito de fecha 16 de Agosto de 2011, la empresa PROAGRO IMPORT &amp; EXPORT S.A.C., dio respuesta al pedido de información solicitado por el Tribunal, sin embargo de la revisión de dicho escrito se corroboró que no cumplió con lo solicitado. </w:t>
      </w:r>
    </w:p>
    <w:p w:rsidR="00A66741" w:rsidRPr="00A66741" w:rsidRDefault="00A66741" w:rsidP="00180973">
      <w:pPr>
        <w:tabs>
          <w:tab w:val="num" w:pos="567"/>
        </w:tabs>
        <w:spacing w:after="0" w:line="240" w:lineRule="auto"/>
        <w:ind w:left="567"/>
        <w:contextualSpacing/>
        <w:jc w:val="both"/>
        <w:rPr>
          <w:rFonts w:ascii="Tahoma" w:eastAsia="Times New Roman" w:hAnsi="Tahoma" w:cs="Tahoma"/>
          <w:lang w:val="es-ES_tradnl" w:eastAsia="es-ES"/>
        </w:rPr>
      </w:pPr>
    </w:p>
    <w:p w:rsidR="00A66741" w:rsidRPr="00A66741" w:rsidRDefault="00A66741" w:rsidP="00180973">
      <w:pPr>
        <w:numPr>
          <w:ilvl w:val="0"/>
          <w:numId w:val="7"/>
        </w:numPr>
        <w:tabs>
          <w:tab w:val="clear" w:pos="454"/>
          <w:tab w:val="num" w:pos="540"/>
          <w:tab w:val="num" w:pos="567"/>
        </w:tabs>
        <w:spacing w:after="0" w:line="240" w:lineRule="auto"/>
        <w:ind w:left="567" w:hanging="567"/>
        <w:contextualSpacing/>
        <w:jc w:val="both"/>
        <w:rPr>
          <w:rFonts w:ascii="Tahoma" w:eastAsia="Times New Roman" w:hAnsi="Tahoma" w:cs="Tahoma"/>
          <w:lang w:val="es-ES_tradnl" w:eastAsia="es-ES"/>
        </w:rPr>
      </w:pPr>
      <w:r w:rsidRPr="00A66741">
        <w:rPr>
          <w:rFonts w:ascii="Tahoma" w:eastAsia="Times New Roman" w:hAnsi="Tahoma" w:cs="Tahoma"/>
          <w:bCs/>
          <w:lang w:val="es-ES" w:eastAsia="es-ES"/>
        </w:rPr>
        <w:lastRenderedPageBreak/>
        <w:t xml:space="preserve">Con decreto de fecha 05 de Septiembre del 2011, y en razón a la Resolución Nº </w:t>
      </w:r>
      <w:r w:rsidRPr="00A66741">
        <w:rPr>
          <w:rFonts w:ascii="Tahoma" w:eastAsia="Times New Roman" w:hAnsi="Tahoma" w:cs="Tahoma"/>
          <w:color w:val="000000"/>
          <w:lang w:val="es-ES" w:eastAsia="es-ES"/>
        </w:rPr>
        <w:t>574-2011-OSCE/PRE de fecha 02 de Septiembre del mismo a</w:t>
      </w:r>
      <w:r w:rsidRPr="00A66741">
        <w:rPr>
          <w:rFonts w:ascii="Tahoma" w:eastAsia="Times New Roman" w:hAnsi="Tahoma" w:cs="Tahoma"/>
          <w:bCs/>
        </w:rPr>
        <w:t xml:space="preserve">ño, se reasignó el presente expediente administrativo a la </w:t>
      </w:r>
      <w:r w:rsidRPr="00A66741">
        <w:rPr>
          <w:rFonts w:ascii="Tahoma" w:eastAsia="Times New Roman" w:hAnsi="Tahoma" w:cs="Tahoma"/>
          <w:bCs/>
          <w:lang w:val="es-ES" w:eastAsia="es-ES"/>
        </w:rPr>
        <w:t>Primera</w:t>
      </w:r>
      <w:r w:rsidRPr="00A66741">
        <w:rPr>
          <w:rFonts w:ascii="Tahoma" w:eastAsia="Times New Roman" w:hAnsi="Tahoma" w:cs="Tahoma"/>
          <w:bCs/>
        </w:rPr>
        <w:t xml:space="preserve"> Sala del Tribunal para su evaluación</w:t>
      </w:r>
      <w:r w:rsidRPr="00A66741">
        <w:rPr>
          <w:rFonts w:ascii="Tahoma" w:eastAsia="Times New Roman" w:hAnsi="Tahoma" w:cs="Tahoma"/>
          <w:bCs/>
          <w:lang w:val="es-ES" w:eastAsia="es-ES"/>
        </w:rPr>
        <w:t>.</w:t>
      </w:r>
    </w:p>
    <w:p w:rsidR="00A66741" w:rsidRPr="00A66741" w:rsidRDefault="00A66741" w:rsidP="00A66741">
      <w:pPr>
        <w:spacing w:after="0" w:line="240" w:lineRule="auto"/>
        <w:ind w:left="540" w:hanging="540"/>
        <w:jc w:val="both"/>
        <w:rPr>
          <w:rFonts w:ascii="Tahoma" w:eastAsia="Times New Roman" w:hAnsi="Tahoma" w:cs="Tahoma"/>
          <w:lang w:val="es-ES" w:eastAsia="es-ES"/>
        </w:rPr>
      </w:pPr>
    </w:p>
    <w:p w:rsidR="00A66741" w:rsidRPr="00A66741" w:rsidRDefault="00A66741" w:rsidP="00A66741">
      <w:pPr>
        <w:spacing w:after="0" w:line="240" w:lineRule="auto"/>
        <w:ind w:firstLine="708"/>
        <w:rPr>
          <w:rFonts w:ascii="Tahoma" w:eastAsia="Times New Roman" w:hAnsi="Tahoma" w:cs="Tahoma"/>
          <w:b/>
          <w:lang w:val="es-ES" w:eastAsia="es-ES"/>
        </w:rPr>
      </w:pPr>
      <w:r w:rsidRPr="00A66741">
        <w:rPr>
          <w:rFonts w:ascii="Tahoma" w:eastAsia="Times New Roman" w:hAnsi="Tahoma" w:cs="Tahoma"/>
          <w:b/>
          <w:lang w:val="es-ES" w:eastAsia="es-ES"/>
        </w:rPr>
        <w:t>FUNDAMENTACIÓN:</w:t>
      </w:r>
    </w:p>
    <w:p w:rsidR="00A66741" w:rsidRPr="00A66741" w:rsidRDefault="00A66741" w:rsidP="00A66741">
      <w:pPr>
        <w:spacing w:after="0" w:line="240" w:lineRule="auto"/>
        <w:ind w:left="540" w:hanging="540"/>
        <w:jc w:val="both"/>
        <w:rPr>
          <w:rFonts w:ascii="Tahoma" w:eastAsia="Times New Roman" w:hAnsi="Tahoma" w:cs="Tahoma"/>
          <w:lang w:val="es-ES" w:eastAsia="es-ES"/>
        </w:rPr>
      </w:pPr>
    </w:p>
    <w:p w:rsidR="00A66741" w:rsidRPr="00A66741" w:rsidRDefault="00A66741" w:rsidP="00A66741">
      <w:pPr>
        <w:numPr>
          <w:ilvl w:val="0"/>
          <w:numId w:val="11"/>
        </w:numPr>
        <w:spacing w:after="0" w:line="240" w:lineRule="auto"/>
        <w:ind w:left="567" w:hanging="567"/>
        <w:jc w:val="both"/>
        <w:rPr>
          <w:rFonts w:ascii="Tahoma" w:eastAsia="Times New Roman" w:hAnsi="Tahoma" w:cs="Tahoma"/>
          <w:lang w:val="es-ES" w:eastAsia="es-PE"/>
        </w:rPr>
      </w:pPr>
      <w:r w:rsidRPr="00A66741">
        <w:rPr>
          <w:rFonts w:ascii="Tahoma" w:eastAsia="Times New Roman" w:hAnsi="Tahoma" w:cs="Tahoma"/>
          <w:lang w:val="es-ES" w:eastAsia="es-PE"/>
        </w:rPr>
        <w:t xml:space="preserve">En el caso de autos, el inicio del procedimiento administrativo sancionador contra </w:t>
      </w:r>
      <w:r w:rsidRPr="00A66741">
        <w:rPr>
          <w:rFonts w:ascii="Tahoma" w:eastAsia="Times New Roman" w:hAnsi="Tahoma" w:cs="Tahoma"/>
          <w:lang w:val="es-ES_tradnl" w:eastAsia="es-PE"/>
        </w:rPr>
        <w:t>la empresa</w:t>
      </w:r>
      <w:r w:rsidRPr="00A66741">
        <w:rPr>
          <w:rFonts w:ascii="Tahoma" w:eastAsia="Times New Roman" w:hAnsi="Tahoma" w:cs="Tahoma"/>
          <w:lang w:val="es-ES" w:eastAsia="es-PE"/>
        </w:rPr>
        <w:t>PROAGRO IMPORT &amp; EXPORT S.A.C., ha sido decretado como consecuencia de su supuesta responsabilidad por la comisión de la infracción tipificada en el literal i) del numeral 51.1 del artículo 51 de la Ley de Contrataciones del Estado, Decreto Legislativo Nº 1017, así como en el  literal i) del numeral 1 del artículo 237 del Reglamento de la Ley de Contrataciones del Estado, aprobado mediante D.S. Nº 184-2008-EF, en adelante el Reglamento, norma aplicable al presente caso.</w:t>
      </w:r>
    </w:p>
    <w:p w:rsidR="00A66741" w:rsidRPr="00A66741" w:rsidRDefault="00A66741" w:rsidP="00A66741">
      <w:pPr>
        <w:spacing w:after="0" w:line="240" w:lineRule="auto"/>
        <w:ind w:left="567"/>
        <w:jc w:val="both"/>
        <w:rPr>
          <w:rFonts w:ascii="Tahoma" w:eastAsia="Times New Roman" w:hAnsi="Tahoma" w:cs="Tahoma"/>
          <w:lang w:val="es-ES" w:eastAsia="es-PE"/>
        </w:rPr>
      </w:pPr>
    </w:p>
    <w:p w:rsidR="00A66741" w:rsidRPr="00A66741" w:rsidRDefault="00A66741" w:rsidP="00A66741">
      <w:pPr>
        <w:numPr>
          <w:ilvl w:val="0"/>
          <w:numId w:val="11"/>
        </w:numPr>
        <w:spacing w:after="0" w:line="240" w:lineRule="auto"/>
        <w:ind w:left="567" w:hanging="567"/>
        <w:jc w:val="both"/>
        <w:rPr>
          <w:rFonts w:ascii="Tahoma" w:eastAsia="Times New Roman" w:hAnsi="Tahoma" w:cs="Tahoma"/>
          <w:lang w:val="es-ES" w:eastAsia="es-PE"/>
        </w:rPr>
      </w:pPr>
      <w:r w:rsidRPr="00A66741">
        <w:rPr>
          <w:rFonts w:ascii="Tahoma" w:eastAsia="Times New Roman" w:hAnsi="Tahoma" w:cs="Tahoma"/>
          <w:lang w:val="es-ES_tradnl" w:eastAsia="es-PE"/>
        </w:rPr>
        <w:t xml:space="preserve">Como cuestión previa a la determinación de la eventual configuración de la infracción imputada en contra del Postor, se estima conveniente emitir pronunciamiento respecto a la supuesta configuración del </w:t>
      </w:r>
      <w:r w:rsidRPr="00A66741">
        <w:rPr>
          <w:rFonts w:ascii="Tahoma" w:eastAsia="Times New Roman" w:hAnsi="Tahoma" w:cs="Tahoma"/>
          <w:i/>
          <w:lang w:val="es-ES_tradnl" w:eastAsia="es-PE"/>
        </w:rPr>
        <w:t xml:space="preserve">Non Bis In Idem, </w:t>
      </w:r>
      <w:r w:rsidRPr="00A66741">
        <w:rPr>
          <w:rFonts w:ascii="Tahoma" w:eastAsia="Times New Roman" w:hAnsi="Tahoma" w:cs="Tahoma"/>
          <w:lang w:val="es-ES_tradnl" w:eastAsia="es-PE"/>
        </w:rPr>
        <w:t>señalado en los descargos del Postor, en relación a que los mismos hechos materia del presente procedimiento sancionador ya habrían sido materia de pronunciamientos por parte de este Tribunal mediante Resoluciones Nros 960-2009-TC-S3, y 020-2011-TC-S2, respectivamente emitida durante la tramitación de los Expedientes Nros 1164-2006.TC, y 263-2011.TC.</w:t>
      </w:r>
    </w:p>
    <w:p w:rsidR="00A66741" w:rsidRPr="00A66741" w:rsidRDefault="00A66741" w:rsidP="00A66741">
      <w:pPr>
        <w:spacing w:after="0" w:line="240" w:lineRule="auto"/>
        <w:ind w:left="708"/>
        <w:rPr>
          <w:rFonts w:ascii="Tahoma" w:eastAsia="Times New Roman" w:hAnsi="Tahoma" w:cs="Tahoma"/>
          <w:lang w:val="es-ES" w:eastAsia="es-ES"/>
        </w:rPr>
      </w:pPr>
    </w:p>
    <w:p w:rsidR="00A66741" w:rsidRPr="00A66741" w:rsidRDefault="00A66741" w:rsidP="00A66741">
      <w:pPr>
        <w:numPr>
          <w:ilvl w:val="0"/>
          <w:numId w:val="11"/>
        </w:numPr>
        <w:spacing w:after="0" w:line="240" w:lineRule="auto"/>
        <w:ind w:left="567" w:hanging="567"/>
        <w:jc w:val="both"/>
        <w:rPr>
          <w:rFonts w:ascii="Tahoma" w:eastAsia="Times New Roman" w:hAnsi="Tahoma" w:cs="Tahoma"/>
          <w:lang w:val="es-ES" w:eastAsia="es-PE"/>
        </w:rPr>
      </w:pPr>
      <w:r w:rsidRPr="00A66741">
        <w:rPr>
          <w:rFonts w:ascii="Tahoma" w:eastAsia="Times New Roman" w:hAnsi="Tahoma" w:cs="Tahoma"/>
          <w:lang w:val="es-ES" w:eastAsia="es-PE"/>
        </w:rPr>
        <w:t xml:space="preserve">Con relación a ello, de la revisión de la </w:t>
      </w:r>
      <w:r w:rsidRPr="00A66741">
        <w:rPr>
          <w:rFonts w:ascii="Tahoma" w:eastAsia="Times New Roman" w:hAnsi="Tahoma" w:cs="Tahoma"/>
          <w:lang w:val="es-ES_tradnl" w:eastAsia="es-PE"/>
        </w:rPr>
        <w:t>Resolución Nº 960-2009-TC-S3</w:t>
      </w:r>
      <w:r w:rsidRPr="00A66741">
        <w:rPr>
          <w:rFonts w:ascii="Tahoma" w:eastAsia="Times New Roman" w:hAnsi="Tahoma" w:cs="Tahoma"/>
          <w:lang w:val="es-ES" w:eastAsia="es-PE"/>
        </w:rPr>
        <w:t xml:space="preserve">, se advierte que el Tribunal de Contrataciones del Estado determinó que no correspondía la aplicación de sanción contra el Postor por su responsabilidad en la </w:t>
      </w:r>
      <w:r w:rsidRPr="00A66741">
        <w:rPr>
          <w:rFonts w:ascii="Tahoma" w:eastAsia="Times New Roman" w:hAnsi="Tahoma" w:cs="Tahoma"/>
          <w:lang w:val="es-ES" w:eastAsia="es-ES"/>
        </w:rPr>
        <w:t>presentación de las Facturas № 001-101 y № 001-112 a favor de la empresa Redsegur S.A., del 31 de marzo de 2005 y del 30 de abril del mismo año, respectivamentepor el servicio de habilitación, reforestación y mantenimiento de áreas verdes</w:t>
      </w:r>
      <w:r w:rsidRPr="00A66741">
        <w:rPr>
          <w:rFonts w:ascii="Tahoma" w:eastAsia="Times New Roman" w:hAnsi="Tahoma" w:cs="Tahoma"/>
          <w:lang w:val="es-ES" w:eastAsia="es-PE"/>
        </w:rPr>
        <w:t xml:space="preserve">,en la </w:t>
      </w:r>
      <w:r w:rsidRPr="00A66741">
        <w:rPr>
          <w:rFonts w:ascii="Tahoma" w:eastAsia="Times New Roman" w:hAnsi="Tahoma" w:cs="Tahoma"/>
          <w:lang w:val="es-ES" w:eastAsia="es-ES"/>
        </w:rPr>
        <w:t>Adjudicación Directa Selectiva № 164-2005-SEDAPAL para la contratación del “Servicio de mantenimiento de áreas verdes de los Centros de Servicios de Breña, Ate-Vitarte, San Juan de Lurigancho y Agencias”</w:t>
      </w:r>
      <w:r w:rsidRPr="00A66741">
        <w:rPr>
          <w:rFonts w:ascii="Tahoma" w:eastAsia="Times New Roman" w:hAnsi="Tahoma" w:cs="Tahoma"/>
          <w:iCs/>
          <w:lang w:val="es-ES" w:eastAsia="es-PE"/>
        </w:rPr>
        <w:t xml:space="preserve">, </w:t>
      </w:r>
      <w:r w:rsidRPr="00A66741">
        <w:rPr>
          <w:rFonts w:ascii="Tahoma" w:eastAsia="Times New Roman" w:hAnsi="Tahoma" w:cs="Tahoma"/>
          <w:lang w:val="es-ES" w:eastAsia="es-PE"/>
        </w:rPr>
        <w:t>documento supuestamente falso y/o inexacto</w:t>
      </w:r>
      <w:r w:rsidRPr="00A66741">
        <w:rPr>
          <w:rFonts w:ascii="Tahoma" w:eastAsia="Times New Roman" w:hAnsi="Tahoma" w:cs="Tahoma"/>
          <w:lang w:val="es-ES_tradnl" w:eastAsia="es-PE"/>
        </w:rPr>
        <w:t xml:space="preserve">; toda vez que, </w:t>
      </w:r>
      <w:r w:rsidRPr="00A66741">
        <w:rPr>
          <w:rFonts w:ascii="Tahoma" w:eastAsia="Times New Roman" w:hAnsi="Tahoma" w:cs="Tahoma"/>
          <w:lang w:val="es-ES" w:eastAsia="es-PE"/>
        </w:rPr>
        <w:t>no habían elementos suficientes que desvirtúen la Presunción de Veracidad que recae sobre los documentos cuestionados.</w:t>
      </w:r>
    </w:p>
    <w:p w:rsidR="00A66741" w:rsidRPr="00A66741" w:rsidRDefault="00A66741" w:rsidP="00A66741">
      <w:pPr>
        <w:spacing w:after="0" w:line="240" w:lineRule="auto"/>
        <w:ind w:left="708"/>
        <w:rPr>
          <w:rFonts w:ascii="Tahoma" w:eastAsia="Times New Roman" w:hAnsi="Tahoma" w:cs="Tahoma"/>
          <w:lang w:val="es-ES" w:eastAsia="es-ES"/>
        </w:rPr>
      </w:pPr>
    </w:p>
    <w:p w:rsidR="00A66741" w:rsidRPr="00A66741" w:rsidRDefault="00A66741" w:rsidP="00A66741">
      <w:pPr>
        <w:numPr>
          <w:ilvl w:val="0"/>
          <w:numId w:val="11"/>
        </w:numPr>
        <w:spacing w:after="0" w:line="240" w:lineRule="auto"/>
        <w:ind w:left="567" w:hanging="567"/>
        <w:jc w:val="both"/>
        <w:rPr>
          <w:rFonts w:ascii="Tahoma" w:eastAsia="Times New Roman" w:hAnsi="Tahoma" w:cs="Tahoma"/>
          <w:lang w:val="es-ES" w:eastAsia="es-PE"/>
        </w:rPr>
      </w:pPr>
      <w:r w:rsidRPr="00A66741">
        <w:rPr>
          <w:rFonts w:ascii="Tahoma" w:eastAsia="Times New Roman" w:hAnsi="Tahoma" w:cs="Tahoma"/>
          <w:lang w:val="es-ES" w:eastAsia="es-PE"/>
        </w:rPr>
        <w:t xml:space="preserve">Por otro lado, en la </w:t>
      </w:r>
      <w:r w:rsidRPr="00A66741">
        <w:rPr>
          <w:rFonts w:ascii="Tahoma" w:eastAsia="Times New Roman" w:hAnsi="Tahoma" w:cs="Tahoma"/>
          <w:lang w:val="es-ES_tradnl" w:eastAsia="es-PE"/>
        </w:rPr>
        <w:t>Resolución Nº 020-2011-TC-S2</w:t>
      </w:r>
      <w:r w:rsidRPr="00A66741">
        <w:rPr>
          <w:rFonts w:ascii="Tahoma" w:eastAsia="Times New Roman" w:hAnsi="Tahoma" w:cs="Tahoma"/>
          <w:lang w:val="es-ES" w:eastAsia="es-PE"/>
        </w:rPr>
        <w:t xml:space="preserve">, se advierte que el Tribunal de Contrataciones del Estado determinó que no correspondía la aplicación de sanción contra el Postor por su responsabilidad en la </w:t>
      </w:r>
      <w:r w:rsidRPr="00A66741">
        <w:rPr>
          <w:rFonts w:ascii="Tahoma" w:eastAsia="Times New Roman" w:hAnsi="Tahoma" w:cs="Tahoma"/>
          <w:lang w:val="es-ES" w:eastAsia="es-ES"/>
        </w:rPr>
        <w:t>presentación del Contrato de Locación de Servicios Nº 023-2005, en la A</w:t>
      </w:r>
      <w:r w:rsidRPr="00A66741">
        <w:rPr>
          <w:rFonts w:ascii="Tahoma" w:eastAsia="Times New Roman" w:hAnsi="Tahoma" w:cs="Tahoma"/>
          <w:bCs/>
          <w:lang w:val="es-ES" w:eastAsia="es-ES"/>
        </w:rPr>
        <w:t>djudicación Directa Pública Nº 004-2008-MTC/10</w:t>
      </w:r>
      <w:r w:rsidRPr="00A66741">
        <w:rPr>
          <w:rFonts w:ascii="Tahoma" w:eastAsia="Times New Roman" w:hAnsi="Tahoma" w:cs="Tahoma"/>
          <w:lang w:val="es-ES" w:eastAsia="es-PE"/>
        </w:rPr>
        <w:t>documento supuestamente falso y/o inexacto</w:t>
      </w:r>
      <w:r w:rsidRPr="00A66741">
        <w:rPr>
          <w:rFonts w:ascii="Tahoma" w:eastAsia="Times New Roman" w:hAnsi="Tahoma" w:cs="Tahoma"/>
          <w:lang w:val="es-ES_tradnl" w:eastAsia="es-PE"/>
        </w:rPr>
        <w:t xml:space="preserve">; toda vez que se </w:t>
      </w:r>
      <w:r w:rsidRPr="00A66741">
        <w:rPr>
          <w:rFonts w:ascii="Tahoma" w:eastAsia="Times New Roman" w:hAnsi="Tahoma" w:cs="Tahoma"/>
          <w:lang w:val="es-ES" w:eastAsia="es-ES"/>
        </w:rPr>
        <w:t xml:space="preserve">había </w:t>
      </w:r>
      <w:r w:rsidRPr="00A66741">
        <w:rPr>
          <w:rFonts w:ascii="Tahoma" w:eastAsia="Times New Roman" w:hAnsi="Tahoma" w:cs="Tahoma"/>
          <w:lang w:val="es-ES" w:eastAsia="es-ES"/>
        </w:rPr>
        <w:lastRenderedPageBreak/>
        <w:t>confirmado la veracidad de dicho documento presentado como parte de la propuesta técnica ante la Entidad</w:t>
      </w:r>
      <w:r w:rsidRPr="00A66741">
        <w:rPr>
          <w:rFonts w:ascii="Tahoma" w:eastAsia="Times New Roman" w:hAnsi="Tahoma" w:cs="Tahoma"/>
          <w:lang w:val="es-ES" w:eastAsia="es-PE"/>
        </w:rPr>
        <w:t>.</w:t>
      </w:r>
    </w:p>
    <w:p w:rsidR="00A66741" w:rsidRPr="00A66741" w:rsidRDefault="00A66741" w:rsidP="00A66741">
      <w:pPr>
        <w:spacing w:after="0" w:line="240" w:lineRule="auto"/>
        <w:ind w:left="720"/>
        <w:contextualSpacing/>
        <w:rPr>
          <w:rFonts w:ascii="Tahoma" w:eastAsia="Times New Roman" w:hAnsi="Tahoma" w:cs="Tahoma"/>
          <w:lang w:val="es-ES" w:eastAsia="es-PE"/>
        </w:rPr>
      </w:pPr>
    </w:p>
    <w:p w:rsidR="00A66741" w:rsidRPr="00A66741" w:rsidRDefault="00A66741" w:rsidP="00A66741">
      <w:pPr>
        <w:numPr>
          <w:ilvl w:val="0"/>
          <w:numId w:val="11"/>
        </w:numPr>
        <w:spacing w:after="0" w:line="240" w:lineRule="auto"/>
        <w:ind w:left="567" w:hanging="567"/>
        <w:jc w:val="both"/>
        <w:rPr>
          <w:rFonts w:ascii="Tahoma" w:eastAsia="Times New Roman" w:hAnsi="Tahoma" w:cs="Tahoma"/>
          <w:lang w:val="es-ES" w:eastAsia="es-PE"/>
        </w:rPr>
      </w:pPr>
      <w:r w:rsidRPr="00A66741">
        <w:rPr>
          <w:rFonts w:ascii="Tahoma" w:eastAsia="Times New Roman" w:hAnsi="Tahoma" w:cs="Tahoma"/>
          <w:lang w:val="es-ES" w:eastAsia="es-PE"/>
        </w:rPr>
        <w:t xml:space="preserve">En ese sentido, se colige que en el supuesto de hecho del presente caso no se aplica el Principio </w:t>
      </w:r>
      <w:r w:rsidRPr="00A66741">
        <w:rPr>
          <w:rFonts w:ascii="Tahoma" w:eastAsia="Times New Roman" w:hAnsi="Tahoma" w:cs="Tahoma"/>
          <w:i/>
          <w:lang w:val="es-ES" w:eastAsia="es-PE"/>
        </w:rPr>
        <w:t>Non bis in idem</w:t>
      </w:r>
      <w:r w:rsidRPr="00A66741">
        <w:rPr>
          <w:rFonts w:ascii="Tahoma" w:eastAsia="Times New Roman" w:hAnsi="Tahoma" w:cs="Tahoma"/>
          <w:lang w:val="es-ES" w:eastAsia="es-PE"/>
        </w:rPr>
        <w:t xml:space="preserve">, que estipula que no se podrán </w:t>
      </w:r>
      <w:r w:rsidRPr="00A66741">
        <w:rPr>
          <w:rFonts w:ascii="Tahoma" w:eastAsia="Times New Roman" w:hAnsi="Tahoma" w:cs="Tahoma"/>
          <w:b/>
          <w:lang w:val="es-ES" w:eastAsia="es-PE"/>
        </w:rPr>
        <w:t>imponer</w:t>
      </w:r>
      <w:r w:rsidRPr="00A66741">
        <w:rPr>
          <w:rFonts w:ascii="Tahoma" w:eastAsia="Times New Roman" w:hAnsi="Tahoma" w:cs="Tahoma"/>
          <w:lang w:val="es-ES" w:eastAsia="es-PE"/>
        </w:rPr>
        <w:t xml:space="preserve"> sucesiva o simultáneamente una </w:t>
      </w:r>
      <w:r w:rsidRPr="00A66741">
        <w:rPr>
          <w:rFonts w:ascii="Tahoma" w:eastAsia="Times New Roman" w:hAnsi="Tahoma" w:cs="Tahoma"/>
          <w:b/>
          <w:lang w:val="es-ES" w:eastAsia="es-PE"/>
        </w:rPr>
        <w:t xml:space="preserve">pena y una sanción administrativa </w:t>
      </w:r>
      <w:r w:rsidRPr="00A66741">
        <w:rPr>
          <w:rFonts w:ascii="Tahoma" w:eastAsia="Times New Roman" w:hAnsi="Tahoma" w:cs="Tahoma"/>
          <w:lang w:val="es-ES" w:eastAsia="es-PE"/>
        </w:rPr>
        <w:t>por el mismo hecho en los casos en que se aprecie la identidad del sujeto, hecho y fundamento</w:t>
      </w:r>
      <w:r w:rsidRPr="00A66741">
        <w:rPr>
          <w:rFonts w:ascii="Tahoma" w:eastAsia="Times New Roman" w:hAnsi="Tahoma" w:cs="Tahoma"/>
          <w:vertAlign w:val="superscript"/>
          <w:lang w:val="es-ES" w:eastAsia="es-PE"/>
        </w:rPr>
        <w:footnoteReference w:id="2"/>
      </w:r>
      <w:r w:rsidRPr="00A66741">
        <w:rPr>
          <w:rFonts w:ascii="Tahoma" w:eastAsia="Times New Roman" w:hAnsi="Tahoma" w:cs="Tahoma"/>
          <w:lang w:val="es-ES" w:eastAsia="es-PE"/>
        </w:rPr>
        <w:t xml:space="preserve">, ahora pues, dado que no se trata del mismo hecho, pues, el pronunciamiento en la </w:t>
      </w:r>
      <w:r w:rsidRPr="00A66741">
        <w:rPr>
          <w:rFonts w:ascii="Tahoma" w:eastAsia="Times New Roman" w:hAnsi="Tahoma" w:cs="Tahoma"/>
          <w:lang w:val="es-ES_tradnl" w:eastAsia="es-PE"/>
        </w:rPr>
        <w:t xml:space="preserve">Resolución Nº 960-2009-TC-S3 hace referencia a documentación supuestamente falsa presentada en </w:t>
      </w:r>
      <w:r w:rsidRPr="00A66741">
        <w:rPr>
          <w:rFonts w:ascii="Tahoma" w:eastAsia="Times New Roman" w:hAnsi="Tahoma" w:cs="Tahoma"/>
          <w:lang w:val="es-ES" w:eastAsia="es-PE"/>
        </w:rPr>
        <w:t xml:space="preserve">la </w:t>
      </w:r>
      <w:r w:rsidRPr="00A66741">
        <w:rPr>
          <w:rFonts w:ascii="Tahoma" w:eastAsia="Times New Roman" w:hAnsi="Tahoma" w:cs="Tahoma"/>
          <w:lang w:val="es-ES_tradnl" w:eastAsia="es-PE"/>
        </w:rPr>
        <w:t>Adjudicación Directa Selectiva Nº 164-2005-SEDAPAL,  sin embargo, en el presente caso, se habría presentado información inexacta ante el Tribunal del OSCE</w:t>
      </w:r>
      <w:r w:rsidRPr="00A66741">
        <w:rPr>
          <w:rFonts w:ascii="Tahoma" w:eastAsia="Times New Roman" w:hAnsi="Tahoma" w:cs="Tahoma"/>
          <w:lang w:val="es-ES" w:eastAsia="es-PE"/>
        </w:rPr>
        <w:t>.</w:t>
      </w:r>
    </w:p>
    <w:p w:rsidR="00A66741" w:rsidRPr="00A66741" w:rsidRDefault="00A66741" w:rsidP="00A66741">
      <w:pPr>
        <w:spacing w:after="0" w:line="240" w:lineRule="auto"/>
        <w:ind w:left="708"/>
        <w:rPr>
          <w:rFonts w:ascii="Tahoma" w:eastAsia="Times New Roman" w:hAnsi="Tahoma" w:cs="Tahoma"/>
          <w:lang w:val="es-ES_tradnl" w:eastAsia="es-ES"/>
        </w:rPr>
      </w:pPr>
    </w:p>
    <w:p w:rsidR="00A66741" w:rsidRPr="00A66741" w:rsidRDefault="00A66741" w:rsidP="00A66741">
      <w:pPr>
        <w:numPr>
          <w:ilvl w:val="0"/>
          <w:numId w:val="11"/>
        </w:numPr>
        <w:spacing w:after="0" w:line="240" w:lineRule="auto"/>
        <w:ind w:left="567" w:hanging="567"/>
        <w:jc w:val="both"/>
        <w:rPr>
          <w:rFonts w:ascii="Tahoma" w:eastAsia="Times New Roman" w:hAnsi="Tahoma" w:cs="Tahoma"/>
          <w:lang w:val="es-ES" w:eastAsia="es-PE"/>
        </w:rPr>
      </w:pPr>
      <w:r w:rsidRPr="00A66741">
        <w:rPr>
          <w:rFonts w:ascii="Tahoma" w:eastAsia="Times New Roman" w:hAnsi="Tahoma" w:cs="Tahoma"/>
          <w:lang w:val="es-ES_tradnl" w:eastAsia="es-PE"/>
        </w:rPr>
        <w:t>Al respecto, mediante diversa jurisprudencia, el Tribunal Constitucional ha establecido que el Principio de Non Bis in Ídem tiene una doble configuración: por un lado una versión sustantiva, la misma que está referida a la imposibilidad que recaigan dos sanciones sobre el mismo sujeto por una misma infracción, y por otro, una connotación procesal: que está referida a que un mismo hecho no pueda ser objeto de dos procesos distintos o, que se inicien dos procesos con el mismo objeto.</w:t>
      </w:r>
    </w:p>
    <w:p w:rsidR="00A66741" w:rsidRPr="00A66741" w:rsidRDefault="00A66741" w:rsidP="00A66741">
      <w:pPr>
        <w:spacing w:after="0" w:line="240" w:lineRule="auto"/>
        <w:ind w:left="708"/>
        <w:rPr>
          <w:rFonts w:ascii="Tahoma" w:eastAsia="Times New Roman" w:hAnsi="Tahoma" w:cs="Tahoma"/>
          <w:lang w:val="es-ES" w:eastAsia="es-ES"/>
        </w:rPr>
      </w:pPr>
    </w:p>
    <w:p w:rsidR="00A66741" w:rsidRPr="00A66741" w:rsidRDefault="00A66741" w:rsidP="00A66741">
      <w:pPr>
        <w:numPr>
          <w:ilvl w:val="0"/>
          <w:numId w:val="11"/>
        </w:numPr>
        <w:spacing w:after="0" w:line="240" w:lineRule="auto"/>
        <w:ind w:left="567" w:hanging="567"/>
        <w:jc w:val="both"/>
        <w:rPr>
          <w:rFonts w:ascii="Tahoma" w:eastAsia="Times New Roman" w:hAnsi="Tahoma" w:cs="Tahoma"/>
          <w:lang w:val="es-ES" w:eastAsia="es-PE"/>
        </w:rPr>
      </w:pPr>
      <w:r w:rsidRPr="00A66741">
        <w:rPr>
          <w:rFonts w:ascii="Tahoma" w:eastAsia="Times New Roman" w:hAnsi="Tahoma" w:cs="Tahoma"/>
          <w:lang w:val="es-ES" w:eastAsia="es-PE"/>
        </w:rPr>
        <w:t>En tal sentido, en el presente caso, no cabe amparar la solicitud realizada por el Postor, respecto a la aplicación del Principio Non Bis In Ídem, toda vez que no se cumpliría con los tres presupuestos establecidos por la norma para su configuración</w:t>
      </w:r>
      <w:r w:rsidRPr="00A66741">
        <w:rPr>
          <w:rFonts w:ascii="Tahoma" w:eastAsia="Times New Roman" w:hAnsi="Tahoma" w:cs="Tahoma"/>
          <w:lang w:val="es-ES_tradnl" w:eastAsia="es-PE"/>
        </w:rPr>
        <w:t>, tal como se ha determinado en el numeral 3 de la presente fundamentación.</w:t>
      </w:r>
    </w:p>
    <w:p w:rsidR="00A66741" w:rsidRPr="00A66741" w:rsidRDefault="00A66741" w:rsidP="00A66741">
      <w:pPr>
        <w:spacing w:after="0" w:line="240" w:lineRule="auto"/>
        <w:ind w:left="708"/>
        <w:rPr>
          <w:rFonts w:ascii="Tahoma" w:eastAsia="Times New Roman" w:hAnsi="Tahoma" w:cs="Tahoma"/>
          <w:lang w:val="es-ES_tradnl" w:eastAsia="es-ES"/>
        </w:rPr>
      </w:pPr>
    </w:p>
    <w:p w:rsidR="00A66741" w:rsidRPr="00A66741" w:rsidRDefault="00A66741" w:rsidP="00A66741">
      <w:pPr>
        <w:numPr>
          <w:ilvl w:val="0"/>
          <w:numId w:val="11"/>
        </w:numPr>
        <w:spacing w:after="0" w:line="240" w:lineRule="auto"/>
        <w:ind w:left="567" w:hanging="567"/>
        <w:jc w:val="both"/>
        <w:rPr>
          <w:rFonts w:ascii="Tahoma" w:eastAsia="Times New Roman" w:hAnsi="Tahoma" w:cs="Tahoma"/>
          <w:lang w:val="es-ES" w:eastAsia="es-PE"/>
        </w:rPr>
      </w:pPr>
      <w:r w:rsidRPr="00A66741">
        <w:rPr>
          <w:rFonts w:ascii="Tahoma" w:eastAsia="Times New Roman" w:hAnsi="Tahoma" w:cs="Tahoma"/>
          <w:lang w:val="es-ES_tradnl" w:eastAsia="es-PE"/>
        </w:rPr>
        <w:t xml:space="preserve">Habiendo establecido esto, procede entonces analizar si en el presente caso se configuró la infracción establecida en el </w:t>
      </w:r>
      <w:r w:rsidRPr="00A66741">
        <w:rPr>
          <w:rFonts w:ascii="Tahoma" w:eastAsia="Times New Roman" w:hAnsi="Tahoma" w:cs="Tahoma"/>
          <w:lang w:val="es-ES" w:eastAsia="es-PE"/>
        </w:rPr>
        <w:t>literal i) del numeral 51.1 del artículo 51 de la Ley de Contrataciones del Estado, Decreto Legislativo Nº 1017, así como en el  literal i) del numeral 1 del artículo 237 del Reglamento.</w:t>
      </w:r>
    </w:p>
    <w:p w:rsidR="00A66741" w:rsidRPr="00A66741" w:rsidRDefault="00A66741" w:rsidP="00A66741">
      <w:pPr>
        <w:spacing w:after="0" w:line="240" w:lineRule="auto"/>
        <w:ind w:left="708"/>
        <w:rPr>
          <w:rFonts w:ascii="Tahoma" w:eastAsia="Times New Roman" w:hAnsi="Tahoma" w:cs="Tahoma"/>
          <w:lang w:val="es-ES" w:eastAsia="es-ES"/>
        </w:rPr>
      </w:pPr>
    </w:p>
    <w:p w:rsidR="00A66741" w:rsidRPr="00A66741" w:rsidRDefault="00A66741" w:rsidP="00A66741">
      <w:pPr>
        <w:numPr>
          <w:ilvl w:val="0"/>
          <w:numId w:val="11"/>
        </w:numPr>
        <w:spacing w:after="0" w:line="240" w:lineRule="auto"/>
        <w:ind w:left="567" w:hanging="567"/>
        <w:jc w:val="both"/>
        <w:rPr>
          <w:rFonts w:ascii="Tahoma" w:eastAsia="Times New Roman" w:hAnsi="Tahoma" w:cs="Tahoma"/>
          <w:lang w:val="es-ES" w:eastAsia="es-PE"/>
        </w:rPr>
      </w:pPr>
      <w:r w:rsidRPr="00A66741">
        <w:rPr>
          <w:rFonts w:ascii="Tahoma" w:eastAsia="Times New Roman" w:hAnsi="Tahoma" w:cs="Tahoma"/>
          <w:lang w:val="es-ES" w:eastAsia="es-PE"/>
        </w:rPr>
        <w:t xml:space="preserve">Al respecto, debemos tener en cuenta que, el presente procedimiento administrativo sancionador ha sido iniciado contra el Postor respecto de la presentación de </w:t>
      </w:r>
      <w:r w:rsidRPr="00A66741">
        <w:rPr>
          <w:rFonts w:ascii="Tahoma" w:eastAsia="Times New Roman" w:hAnsi="Tahoma" w:cs="Tahoma"/>
          <w:lang w:val="es-ES" w:eastAsia="es-PE"/>
        </w:rPr>
        <w:lastRenderedPageBreak/>
        <w:t xml:space="preserve">documentación falsa ante este Tribunal, consistente en </w:t>
      </w:r>
      <w:r w:rsidRPr="00A66741">
        <w:rPr>
          <w:rFonts w:ascii="Tahoma" w:eastAsia="Times New Roman" w:hAnsi="Tahoma" w:cs="Tahoma"/>
          <w:color w:val="000000"/>
          <w:lang w:val="es-ES" w:eastAsia="es-PE"/>
        </w:rPr>
        <w:t>la Factura Nº 001-119 por un monto de S/. 15,418.00 a favor de la empresa Orellana &amp; León Abogados y Consultores S.A.C.; no obstante, dicha factura habría sido expedida a favor de la empresa Redsegur por el monto de S/.99,625.00</w:t>
      </w:r>
      <w:r w:rsidRPr="00A66741">
        <w:rPr>
          <w:rFonts w:ascii="Tahoma" w:eastAsia="Times New Roman" w:hAnsi="Tahoma" w:cs="Tahoma"/>
          <w:lang w:val="es-ES" w:eastAsia="es-PE"/>
        </w:rPr>
        <w:t>.</w:t>
      </w:r>
    </w:p>
    <w:p w:rsidR="00A66741" w:rsidRPr="00A66741" w:rsidRDefault="00A66741" w:rsidP="00A66741">
      <w:pPr>
        <w:spacing w:after="0" w:line="240" w:lineRule="auto"/>
        <w:ind w:left="708"/>
        <w:rPr>
          <w:rFonts w:ascii="Tahoma" w:eastAsia="Times New Roman" w:hAnsi="Tahoma" w:cs="Tahoma"/>
          <w:lang w:val="es-ES" w:eastAsia="es-ES"/>
        </w:rPr>
      </w:pPr>
    </w:p>
    <w:p w:rsidR="00A66741" w:rsidRPr="00A66741" w:rsidRDefault="00A66741" w:rsidP="00A66741">
      <w:pPr>
        <w:numPr>
          <w:ilvl w:val="0"/>
          <w:numId w:val="11"/>
        </w:numPr>
        <w:spacing w:after="0" w:line="240" w:lineRule="auto"/>
        <w:ind w:left="567" w:hanging="567"/>
        <w:jc w:val="both"/>
        <w:rPr>
          <w:rFonts w:ascii="Tahoma" w:eastAsia="Times New Roman" w:hAnsi="Tahoma" w:cs="Tahoma"/>
          <w:lang w:val="es-ES" w:eastAsia="es-PE"/>
        </w:rPr>
      </w:pPr>
      <w:r w:rsidRPr="00A66741">
        <w:rPr>
          <w:rFonts w:ascii="Tahoma" w:eastAsia="Times New Roman" w:hAnsi="Tahoma" w:cs="Tahoma"/>
          <w:lang w:val="es-ES" w:eastAsia="es-PE"/>
        </w:rPr>
        <w:t>Sobre ello, la infracción imputada al Postor corresponde a la señalada en el literal i) del numeral 51.1 del artículo 51 de la Ley de Contrataciones del Estado, Decreto Legislativo Nº 1017, concordante con el  literal i) del numeral 1 del artículo 237 del Reglamento de la Ley de Contrataciones del Estado, aprobado mediante D.S. Nº 184-2008-E</w:t>
      </w:r>
      <w:r w:rsidRPr="00A66741">
        <w:rPr>
          <w:rFonts w:ascii="Tahoma" w:eastAsia="Times New Roman" w:hAnsi="Tahoma" w:cs="Tahoma"/>
          <w:vertAlign w:val="superscript"/>
          <w:lang w:val="es-ES" w:eastAsia="es-PE"/>
        </w:rPr>
        <w:footnoteReference w:id="3"/>
      </w:r>
      <w:r w:rsidRPr="00A66741">
        <w:rPr>
          <w:rFonts w:ascii="Tahoma" w:eastAsia="Times New Roman" w:hAnsi="Tahoma" w:cs="Tahoma"/>
          <w:lang w:val="es-ES" w:eastAsia="es-PE"/>
        </w:rPr>
        <w:t xml:space="preserve">, la cual se configura con la presentación de documentos falsos o información inexacta ante la Entidad, al Tribunal o al OSCE; es decir, con la sola afectación del </w:t>
      </w:r>
      <w:r w:rsidRPr="00A66741">
        <w:rPr>
          <w:rFonts w:ascii="Tahoma" w:eastAsia="Times New Roman" w:hAnsi="Tahoma" w:cs="Tahoma"/>
          <w:i/>
          <w:lang w:val="es-ES" w:eastAsia="es-PE"/>
        </w:rPr>
        <w:t xml:space="preserve">Principio de Presunción de </w:t>
      </w:r>
      <w:r w:rsidRPr="00A66741">
        <w:rPr>
          <w:rFonts w:ascii="Tahoma" w:eastAsia="Times New Roman" w:hAnsi="Tahoma" w:cs="Tahoma"/>
          <w:lang w:val="es-ES" w:eastAsia="es-PE"/>
        </w:rPr>
        <w:t>Veracidad</w:t>
      </w:r>
      <w:r w:rsidRPr="00A66741">
        <w:rPr>
          <w:rFonts w:ascii="Tahoma" w:eastAsia="Times New Roman" w:hAnsi="Tahoma" w:cs="Tahoma"/>
          <w:vertAlign w:val="superscript"/>
          <w:lang w:val="es-ES" w:eastAsia="es-PE"/>
        </w:rPr>
        <w:footnoteReference w:id="4"/>
      </w:r>
      <w:r w:rsidRPr="00A66741">
        <w:rPr>
          <w:rFonts w:ascii="Tahoma" w:eastAsia="Times New Roman" w:hAnsi="Tahoma" w:cs="Tahoma"/>
          <w:lang w:val="es-ES" w:eastAsia="es-PE"/>
        </w:rPr>
        <w:t xml:space="preserve"> consagrado en el acápite 1.7 del Artículo IV del Título Preliminar de la Ley № 27444, del Procedimiento Administrativo General, sin que la norma exija otros factores adicionales, por cuanto la Administración Pública presume que todos los documentos y declaraciones formuladas por los administrados responden a la verdad de los hechos que ellos afirman. </w:t>
      </w:r>
    </w:p>
    <w:p w:rsidR="00A66741" w:rsidRPr="00A66741" w:rsidRDefault="00A66741" w:rsidP="00A66741">
      <w:pPr>
        <w:tabs>
          <w:tab w:val="num" w:pos="0"/>
          <w:tab w:val="num" w:pos="540"/>
        </w:tabs>
        <w:spacing w:after="0" w:line="240" w:lineRule="auto"/>
        <w:ind w:left="567" w:hanging="567"/>
        <w:jc w:val="both"/>
        <w:rPr>
          <w:rFonts w:ascii="Tahoma" w:eastAsia="Times New Roman" w:hAnsi="Tahoma" w:cs="Tahoma"/>
          <w:lang w:val="es-ES" w:eastAsia="es-ES"/>
        </w:rPr>
      </w:pPr>
    </w:p>
    <w:p w:rsidR="00A66741" w:rsidRPr="00A66741" w:rsidRDefault="00A66741" w:rsidP="00A66741">
      <w:pPr>
        <w:numPr>
          <w:ilvl w:val="0"/>
          <w:numId w:val="11"/>
        </w:numPr>
        <w:spacing w:after="0" w:line="240" w:lineRule="auto"/>
        <w:ind w:left="567" w:hanging="567"/>
        <w:jc w:val="both"/>
        <w:rPr>
          <w:rFonts w:ascii="Tahoma" w:eastAsia="Times New Roman" w:hAnsi="Tahoma" w:cs="Tahoma"/>
          <w:lang w:val="es-ES" w:eastAsia="es-PE"/>
        </w:rPr>
      </w:pPr>
      <w:r w:rsidRPr="00A66741">
        <w:rPr>
          <w:rFonts w:ascii="Tahoma" w:eastAsia="Times New Roman" w:hAnsi="Tahoma" w:cs="Tahoma"/>
          <w:lang w:val="es-ES" w:eastAsia="es-PE"/>
        </w:rPr>
        <w:t xml:space="preserve">Por otro lado, el artículo 42 del Reglamento establece que los postores y/o contratistas </w:t>
      </w:r>
      <w:r w:rsidRPr="00A66741">
        <w:rPr>
          <w:rFonts w:ascii="Tahoma" w:eastAsia="Times New Roman" w:hAnsi="Tahoma" w:cs="Tahoma"/>
          <w:b/>
          <w:lang w:val="es-ES" w:eastAsia="es-PE"/>
        </w:rPr>
        <w:t>son responsables de la veracidad de los documentos e información que presentan para efectos de un proceso de selección determinado</w:t>
      </w:r>
      <w:r w:rsidRPr="00A66741">
        <w:rPr>
          <w:rFonts w:ascii="Tahoma" w:eastAsia="Times New Roman" w:hAnsi="Tahoma" w:cs="Tahoma"/>
          <w:lang w:val="es-ES" w:eastAsia="es-PE"/>
        </w:rPr>
        <w:t>.</w:t>
      </w:r>
    </w:p>
    <w:p w:rsidR="00A66741" w:rsidRPr="00A66741" w:rsidRDefault="00A66741" w:rsidP="00A66741">
      <w:pPr>
        <w:tabs>
          <w:tab w:val="num" w:pos="0"/>
        </w:tabs>
        <w:spacing w:after="0" w:line="240" w:lineRule="auto"/>
        <w:ind w:left="567" w:hanging="567"/>
        <w:jc w:val="both"/>
        <w:rPr>
          <w:rFonts w:ascii="Tahoma" w:eastAsia="Times New Roman" w:hAnsi="Tahoma" w:cs="Tahoma"/>
          <w:lang w:val="es-ES" w:eastAsia="es-ES"/>
        </w:rPr>
      </w:pPr>
    </w:p>
    <w:p w:rsidR="00A66741" w:rsidRPr="00A66741" w:rsidRDefault="00A66741" w:rsidP="00A66741">
      <w:pPr>
        <w:numPr>
          <w:ilvl w:val="0"/>
          <w:numId w:val="11"/>
        </w:numPr>
        <w:spacing w:after="0" w:line="240" w:lineRule="auto"/>
        <w:ind w:left="567" w:hanging="567"/>
        <w:jc w:val="both"/>
        <w:rPr>
          <w:rFonts w:ascii="Tahoma" w:eastAsia="Times New Roman" w:hAnsi="Tahoma" w:cs="Tahoma"/>
          <w:lang w:val="es-ES" w:eastAsia="es-PE"/>
        </w:rPr>
      </w:pPr>
      <w:r w:rsidRPr="00A66741">
        <w:rPr>
          <w:rFonts w:ascii="Tahoma" w:eastAsia="Times New Roman" w:hAnsi="Tahoma" w:cs="Tahoma"/>
          <w:lang w:val="es-ES" w:eastAsia="es-PE"/>
        </w:rPr>
        <w:t xml:space="preserve">Asimismo, </w:t>
      </w:r>
      <w:r w:rsidRPr="00A66741">
        <w:rPr>
          <w:rFonts w:ascii="Tahoma" w:eastAsia="Times New Roman" w:hAnsi="Tahoma" w:cs="Tahoma"/>
          <w:lang w:val="es-MX" w:eastAsia="es-PE"/>
        </w:rPr>
        <w:t xml:space="preserve">el artículo 42 de la Ley de Procedimiento Administrativo General </w:t>
      </w:r>
      <w:r w:rsidRPr="00A66741">
        <w:rPr>
          <w:rFonts w:ascii="Tahoma" w:eastAsia="Times New Roman" w:hAnsi="Tahoma" w:cs="Tahoma"/>
          <w:lang w:val="es-ES" w:eastAsia="es-PE"/>
        </w:rPr>
        <w:t>establece</w:t>
      </w:r>
      <w:r w:rsidRPr="00A66741">
        <w:rPr>
          <w:rFonts w:ascii="Tahoma" w:eastAsia="Times New Roman" w:hAnsi="Tahoma" w:cs="Tahoma"/>
          <w:lang w:val="es-MX" w:eastAsia="es-PE"/>
        </w:rPr>
        <w:t xml:space="preserve"> que todas las declaraciones juradas, los documentos sucedáneos presentados y la información incluida en los escritos y formularios que presenten los administrados para la realización de procedimientos administrativos, se presumen verificados por quien hace uso de ellos, así como de contenido veraz para fines del procedimiento administrativo. Sin embargo, esta presunción es </w:t>
      </w:r>
      <w:r w:rsidRPr="00A66741">
        <w:rPr>
          <w:rFonts w:ascii="Tahoma" w:eastAsia="Times New Roman" w:hAnsi="Tahoma" w:cs="Tahoma"/>
          <w:i/>
          <w:lang w:val="es-MX" w:eastAsia="es-PE"/>
        </w:rPr>
        <w:t>juris tantum</w:t>
      </w:r>
      <w:r w:rsidRPr="00A66741">
        <w:rPr>
          <w:rFonts w:ascii="Tahoma" w:eastAsia="Times New Roman" w:hAnsi="Tahoma" w:cs="Tahoma"/>
          <w:lang w:val="es-MX" w:eastAsia="es-PE"/>
        </w:rPr>
        <w:t xml:space="preserve"> pues admite prueba en contrario, en la medida que es atribución de la Administración Pública verificar la </w:t>
      </w:r>
      <w:r w:rsidRPr="00A66741">
        <w:rPr>
          <w:rFonts w:ascii="Tahoma" w:eastAsia="Times New Roman" w:hAnsi="Tahoma" w:cs="Tahoma"/>
          <w:lang w:val="es-MX" w:eastAsia="es-PE"/>
        </w:rPr>
        <w:lastRenderedPageBreak/>
        <w:t>documentación presentada cuando existen indicios suficientes que la información consignada no se ajusta a los hechos.</w:t>
      </w:r>
    </w:p>
    <w:p w:rsidR="00A66741" w:rsidRPr="00A66741" w:rsidRDefault="00A66741" w:rsidP="00A66741">
      <w:pPr>
        <w:spacing w:after="0" w:line="240" w:lineRule="auto"/>
        <w:ind w:left="708"/>
        <w:rPr>
          <w:rFonts w:ascii="Tahoma" w:eastAsia="Times New Roman" w:hAnsi="Tahoma" w:cs="Tahoma"/>
          <w:lang w:val="es-ES" w:eastAsia="es-ES"/>
        </w:rPr>
      </w:pPr>
    </w:p>
    <w:p w:rsidR="00A66741" w:rsidRPr="00A66741" w:rsidRDefault="00A66741" w:rsidP="00A66741">
      <w:pPr>
        <w:numPr>
          <w:ilvl w:val="0"/>
          <w:numId w:val="11"/>
        </w:numPr>
        <w:spacing w:after="0" w:line="240" w:lineRule="auto"/>
        <w:ind w:left="567" w:hanging="567"/>
        <w:jc w:val="both"/>
        <w:rPr>
          <w:rFonts w:ascii="Tahoma" w:eastAsia="Times New Roman" w:hAnsi="Tahoma" w:cs="Tahoma"/>
          <w:lang w:val="es-ES" w:eastAsia="es-PE"/>
        </w:rPr>
      </w:pPr>
      <w:r w:rsidRPr="00A66741">
        <w:rPr>
          <w:rFonts w:ascii="Tahoma" w:eastAsia="Times New Roman" w:hAnsi="Tahoma" w:cs="Tahoma"/>
          <w:lang w:val="es-ES" w:eastAsia="es-PE"/>
        </w:rPr>
        <w:t xml:space="preserve">Ahora bien, para la configuración del supuesto de presentación de documentación falsa, se requiere previamente acreditar su falsedad, esto es que el documento o los documentos cuestionados no hayan sido expedidos por el órgano o agente emisor o que, siendo válidamente expedidos, hayan sido adulterados en su contenido. </w:t>
      </w:r>
    </w:p>
    <w:p w:rsidR="00A66741" w:rsidRPr="00A66741" w:rsidRDefault="00A66741" w:rsidP="00A66741">
      <w:pPr>
        <w:tabs>
          <w:tab w:val="left" w:pos="0"/>
        </w:tabs>
        <w:spacing w:after="0" w:line="240" w:lineRule="auto"/>
        <w:ind w:left="567"/>
        <w:rPr>
          <w:rFonts w:ascii="Tahoma" w:eastAsia="Times New Roman" w:hAnsi="Tahoma" w:cs="Tahoma"/>
          <w:lang w:val="es-ES" w:eastAsia="es-ES"/>
        </w:rPr>
      </w:pPr>
    </w:p>
    <w:p w:rsidR="00A66741" w:rsidRPr="00A66741" w:rsidRDefault="00A66741" w:rsidP="00A66741">
      <w:pPr>
        <w:tabs>
          <w:tab w:val="left" w:pos="0"/>
        </w:tabs>
        <w:spacing w:after="0" w:line="240" w:lineRule="auto"/>
        <w:ind w:left="567"/>
        <w:jc w:val="both"/>
        <w:rPr>
          <w:rFonts w:ascii="Tahoma" w:eastAsia="Times New Roman" w:hAnsi="Tahoma" w:cs="Tahoma"/>
          <w:lang w:val="es-ES" w:eastAsia="es-ES"/>
        </w:rPr>
      </w:pPr>
      <w:r w:rsidRPr="00A66741">
        <w:rPr>
          <w:rFonts w:ascii="Tahoma" w:eastAsia="Times New Roman" w:hAnsi="Tahoma" w:cs="Tahoma"/>
          <w:lang w:eastAsia="es-ES"/>
        </w:rPr>
        <w:t xml:space="preserve">Por otro lado, la infracción referida a información inexacta se configura ante la presentación de documentos no concordantes con la realidad, que constituye una forma de falseamiento de la misma, a través del quebrantamiento de los </w:t>
      </w:r>
      <w:r w:rsidRPr="00A66741">
        <w:rPr>
          <w:rFonts w:ascii="Tahoma" w:eastAsia="Times New Roman" w:hAnsi="Tahoma" w:cs="Tahoma"/>
          <w:i/>
          <w:lang w:eastAsia="es-ES"/>
        </w:rPr>
        <w:t>Principios de Moralidad</w:t>
      </w:r>
      <w:r w:rsidRPr="00A66741">
        <w:rPr>
          <w:rFonts w:ascii="Tahoma" w:eastAsia="Times New Roman" w:hAnsi="Tahoma" w:cs="Tahoma"/>
          <w:lang w:eastAsia="es-ES"/>
        </w:rPr>
        <w:t xml:space="preserve"> y de </w:t>
      </w:r>
      <w:r w:rsidRPr="00A66741">
        <w:rPr>
          <w:rFonts w:ascii="Tahoma" w:eastAsia="Times New Roman" w:hAnsi="Tahoma" w:cs="Tahoma"/>
          <w:i/>
          <w:lang w:eastAsia="es-ES"/>
        </w:rPr>
        <w:t>Presunción de Veracidad</w:t>
      </w:r>
      <w:r w:rsidRPr="00A66741">
        <w:rPr>
          <w:rFonts w:ascii="Tahoma" w:eastAsia="Times New Roman" w:hAnsi="Tahoma" w:cs="Tahoma"/>
          <w:lang w:eastAsia="es-ES"/>
        </w:rPr>
        <w:t>.</w:t>
      </w:r>
    </w:p>
    <w:p w:rsidR="00A66741" w:rsidRPr="00A66741" w:rsidRDefault="00A66741" w:rsidP="00A66741">
      <w:pPr>
        <w:tabs>
          <w:tab w:val="left" w:pos="0"/>
        </w:tabs>
        <w:spacing w:after="0" w:line="240" w:lineRule="auto"/>
        <w:ind w:left="567"/>
        <w:rPr>
          <w:rFonts w:ascii="Tahoma" w:eastAsia="Times New Roman" w:hAnsi="Tahoma" w:cs="Tahoma"/>
          <w:lang w:val="es-ES" w:eastAsia="es-ES"/>
        </w:rPr>
      </w:pPr>
    </w:p>
    <w:p w:rsidR="00A66741" w:rsidRPr="00A66741" w:rsidRDefault="00A66741" w:rsidP="00A66741">
      <w:pPr>
        <w:numPr>
          <w:ilvl w:val="0"/>
          <w:numId w:val="11"/>
        </w:numPr>
        <w:spacing w:after="0" w:line="240" w:lineRule="auto"/>
        <w:ind w:left="567" w:hanging="567"/>
        <w:jc w:val="both"/>
        <w:rPr>
          <w:rFonts w:ascii="Tahoma" w:eastAsia="Times New Roman" w:hAnsi="Tahoma" w:cs="Tahoma"/>
          <w:lang w:val="es-ES" w:eastAsia="es-PE"/>
        </w:rPr>
      </w:pPr>
      <w:r w:rsidRPr="00A66741">
        <w:rPr>
          <w:rFonts w:ascii="Tahoma" w:eastAsia="Times New Roman" w:hAnsi="Tahoma" w:cs="Tahoma"/>
          <w:lang w:val="es-ES" w:eastAsia="es-PE"/>
        </w:rPr>
        <w:t xml:space="preserve">Al respecto, para efectos de verificar si el documento cuestionado contenía información inexacta, es decir la Factura Nº 001-119, este Colegiado requirió a la Superintendencia Nacional de Administración Tributaria-SUNAT, informara si dicho comprobante había sido declarado por la empresa </w:t>
      </w:r>
      <w:r w:rsidRPr="00A66741">
        <w:rPr>
          <w:rFonts w:ascii="Tahoma" w:eastAsia="Times New Roman" w:hAnsi="Tahoma" w:cs="Tahoma"/>
          <w:lang w:val="es-ES_tradnl" w:eastAsia="es-PE"/>
        </w:rPr>
        <w:t>Orellana Abogados y Consultores S.A.C. (hoy Abogados Peruanos Asociados S.A.C.) como gasto para el ejercicio 2005, sin embargo hasta la fecha no ha respondido sobre la solicitud realizada.</w:t>
      </w:r>
    </w:p>
    <w:p w:rsidR="00A66741" w:rsidRPr="00A66741" w:rsidRDefault="00A66741" w:rsidP="00A66741">
      <w:pPr>
        <w:spacing w:after="0" w:line="240" w:lineRule="auto"/>
        <w:ind w:left="567"/>
        <w:jc w:val="both"/>
        <w:rPr>
          <w:rFonts w:ascii="Tahoma" w:eastAsia="Times New Roman" w:hAnsi="Tahoma" w:cs="Tahoma"/>
          <w:lang w:val="es-ES" w:eastAsia="es-PE"/>
        </w:rPr>
      </w:pPr>
    </w:p>
    <w:p w:rsidR="00A66741" w:rsidRPr="00A66741" w:rsidRDefault="00A66741" w:rsidP="00A66741">
      <w:pPr>
        <w:numPr>
          <w:ilvl w:val="0"/>
          <w:numId w:val="11"/>
        </w:numPr>
        <w:spacing w:after="0" w:line="240" w:lineRule="auto"/>
        <w:ind w:left="567" w:hanging="567"/>
        <w:jc w:val="both"/>
        <w:rPr>
          <w:rFonts w:ascii="Tahoma" w:eastAsia="Times New Roman" w:hAnsi="Tahoma" w:cs="Tahoma"/>
          <w:lang w:val="es-ES" w:eastAsia="es-PE"/>
        </w:rPr>
      </w:pPr>
      <w:r w:rsidRPr="00A66741">
        <w:rPr>
          <w:rFonts w:ascii="Tahoma" w:eastAsia="Times New Roman" w:hAnsi="Tahoma" w:cs="Tahoma"/>
          <w:lang w:val="es-ES" w:eastAsia="es-PE"/>
        </w:rPr>
        <w:t xml:space="preserve">Asimismo, debe mencionarse que, el Tribunal solicitó reiteradas veces a la empresa  </w:t>
      </w:r>
      <w:r w:rsidRPr="00A66741">
        <w:rPr>
          <w:rFonts w:ascii="Tahoma" w:eastAsia="Times New Roman" w:hAnsi="Tahoma" w:cs="Tahoma"/>
          <w:lang w:val="es-ES_tradnl" w:eastAsia="es-PE"/>
        </w:rPr>
        <w:t xml:space="preserve">Orellana Abogados y Consultores S.A.C., de su conformidad sobre la veracidad de la </w:t>
      </w:r>
      <w:r w:rsidRPr="00A66741">
        <w:rPr>
          <w:rFonts w:ascii="Tahoma" w:eastAsia="Times New Roman" w:hAnsi="Tahoma" w:cs="Tahoma"/>
          <w:color w:val="000000"/>
          <w:lang w:val="es-ES_tradnl" w:eastAsia="es-PE"/>
        </w:rPr>
        <w:t>Factura Nº 001-000119, asimismo se le solicitó</w:t>
      </w:r>
      <w:r w:rsidRPr="00A66741">
        <w:rPr>
          <w:rFonts w:ascii="Tahoma" w:eastAsia="Times New Roman" w:hAnsi="Tahoma" w:cs="Tahoma"/>
          <w:lang w:val="es-ES" w:eastAsia="es-PE"/>
        </w:rPr>
        <w:t xml:space="preserve"> al postor, remitiera </w:t>
      </w:r>
      <w:r w:rsidRPr="00A66741">
        <w:rPr>
          <w:rFonts w:ascii="Tahoma" w:eastAsia="Times New Roman" w:hAnsi="Tahoma" w:cs="Tahoma"/>
          <w:color w:val="000000"/>
          <w:lang w:val="es-ES_tradnl" w:eastAsia="es-PE"/>
        </w:rPr>
        <w:t xml:space="preserve">copia legalizada de la Factura Nº 001-000119, así como copia de su Libro de Registro de ventas del mes de junio de 2005, a fin de determinar si efectivamente, dicho servicio había sido realizado a favor de la empresa </w:t>
      </w:r>
      <w:r w:rsidRPr="00A66741">
        <w:rPr>
          <w:rFonts w:ascii="Tahoma" w:eastAsia="Times New Roman" w:hAnsi="Tahoma" w:cs="Tahoma"/>
          <w:lang w:val="es-ES_tradnl" w:eastAsia="es-PE"/>
        </w:rPr>
        <w:t>Orellana Abogados y Consultores S.A.C.</w:t>
      </w:r>
    </w:p>
    <w:p w:rsidR="00A66741" w:rsidRPr="00A66741" w:rsidRDefault="00A66741" w:rsidP="00A66741">
      <w:pPr>
        <w:spacing w:after="0" w:line="240" w:lineRule="auto"/>
        <w:ind w:left="567"/>
        <w:jc w:val="both"/>
        <w:rPr>
          <w:rFonts w:ascii="Tahoma" w:eastAsia="Times New Roman" w:hAnsi="Tahoma" w:cs="Tahoma"/>
          <w:lang w:val="es-ES" w:eastAsia="es-PE"/>
        </w:rPr>
      </w:pPr>
    </w:p>
    <w:p w:rsidR="00A66741" w:rsidRPr="00A66741" w:rsidRDefault="00A66741" w:rsidP="00A66741">
      <w:pPr>
        <w:numPr>
          <w:ilvl w:val="0"/>
          <w:numId w:val="11"/>
        </w:numPr>
        <w:spacing w:after="0" w:line="240" w:lineRule="auto"/>
        <w:ind w:left="567" w:hanging="567"/>
        <w:jc w:val="both"/>
        <w:rPr>
          <w:rFonts w:ascii="Tahoma" w:eastAsia="Times New Roman" w:hAnsi="Tahoma" w:cs="Tahoma"/>
          <w:lang w:val="es-ES" w:eastAsia="es-PE"/>
        </w:rPr>
      </w:pPr>
      <w:r w:rsidRPr="00A66741">
        <w:rPr>
          <w:rFonts w:ascii="Tahoma" w:eastAsia="Times New Roman" w:hAnsi="Tahoma" w:cs="Tahoma"/>
          <w:lang w:val="es-ES" w:eastAsia="es-PE"/>
        </w:rPr>
        <w:t>Sobre lo anterior, debe señalarse que de la revisión de la jurisprudencia del Tribunal, por  Resolución Nº 2240/2010.TC-S1 del 29 de noviembre de 2010, se impuso sanción administrativa de inhabilitación al postor para participar en procesos de selección por un periodo de 06 meses, por haber presentado documentación falsa o inexacta en la Adjudicación de Menor Cuantía Nº 180-2005-ESSALUD/GCH, consistente en la Factura Nº 001-119, emitida a favor de la empresa REDSEGUR S.A., determinando lo siguiente:</w:t>
      </w:r>
    </w:p>
    <w:p w:rsidR="00A66741" w:rsidRPr="00A66741" w:rsidRDefault="00A66741" w:rsidP="00A66741">
      <w:pPr>
        <w:spacing w:after="0" w:line="240" w:lineRule="auto"/>
        <w:ind w:left="708"/>
        <w:rPr>
          <w:rFonts w:ascii="Tahoma" w:eastAsia="Times New Roman" w:hAnsi="Tahoma" w:cs="Tahoma"/>
          <w:lang w:val="es-ES" w:eastAsia="es-ES"/>
        </w:rPr>
      </w:pPr>
    </w:p>
    <w:p w:rsidR="00A66741" w:rsidRPr="00A66741" w:rsidRDefault="00A66741" w:rsidP="00A66741">
      <w:pPr>
        <w:spacing w:after="0" w:line="240" w:lineRule="auto"/>
        <w:ind w:left="567"/>
        <w:jc w:val="both"/>
        <w:rPr>
          <w:rFonts w:ascii="Tahoma" w:eastAsia="Times New Roman" w:hAnsi="Tahoma" w:cs="Tahoma"/>
          <w:lang w:val="es-ES" w:eastAsia="es-PE"/>
        </w:rPr>
      </w:pPr>
      <w:r w:rsidRPr="00A66741">
        <w:rPr>
          <w:rFonts w:ascii="Tahoma" w:eastAsia="Times New Roman" w:hAnsi="Tahoma" w:cs="Tahoma"/>
          <w:lang w:val="es-ES" w:eastAsia="es-PE"/>
        </w:rPr>
        <w:t>(…)</w:t>
      </w:r>
    </w:p>
    <w:p w:rsidR="00A66741" w:rsidRPr="00A66741" w:rsidRDefault="00A66741" w:rsidP="00A66741">
      <w:pPr>
        <w:spacing w:after="0" w:line="240" w:lineRule="auto"/>
        <w:ind w:left="708"/>
        <w:rPr>
          <w:rFonts w:ascii="Tahoma" w:eastAsia="Times New Roman" w:hAnsi="Tahoma" w:cs="Tahoma"/>
          <w:lang w:val="es-ES" w:eastAsia="es-ES"/>
        </w:rPr>
      </w:pPr>
    </w:p>
    <w:p w:rsidR="00A66741" w:rsidRPr="00A66741" w:rsidRDefault="00A66741" w:rsidP="00A66741">
      <w:pPr>
        <w:spacing w:after="0" w:line="240" w:lineRule="auto"/>
        <w:ind w:left="567"/>
        <w:jc w:val="both"/>
        <w:rPr>
          <w:rFonts w:ascii="Tahoma" w:eastAsia="Times New Roman" w:hAnsi="Tahoma" w:cs="Tahoma"/>
          <w:i/>
          <w:lang w:val="es-ES" w:eastAsia="es-ES"/>
        </w:rPr>
      </w:pPr>
      <w:r w:rsidRPr="00A66741">
        <w:rPr>
          <w:rFonts w:ascii="Tahoma" w:eastAsia="Times New Roman" w:hAnsi="Tahoma" w:cs="Tahoma"/>
          <w:i/>
          <w:lang w:val="es-ES" w:eastAsia="es-ES"/>
        </w:rPr>
        <w:t xml:space="preserve">En el caso que nos ocupa, la imputación contra el Postor se refiere a la supuesta falsedad o inexactitud de </w:t>
      </w:r>
      <w:r w:rsidRPr="00A66741">
        <w:rPr>
          <w:rFonts w:ascii="Tahoma" w:eastAsia="Times New Roman" w:hAnsi="Tahoma" w:cs="Tahoma"/>
          <w:i/>
          <w:lang w:val="es-ES_tradnl" w:eastAsia="es-ES"/>
        </w:rPr>
        <w:t xml:space="preserve">la Factura 001-00119 </w:t>
      </w:r>
      <w:r w:rsidRPr="00A66741">
        <w:rPr>
          <w:rFonts w:ascii="Tahoma" w:eastAsia="Times New Roman" w:hAnsi="Tahoma" w:cs="Tahoma"/>
          <w:i/>
          <w:lang w:val="es-ES" w:eastAsia="es-ES"/>
        </w:rPr>
        <w:t>girada supuestamente a nombre de la empresa REDSEGUR S.A.</w:t>
      </w:r>
      <w:r w:rsidRPr="00A66741">
        <w:rPr>
          <w:rFonts w:ascii="Tahoma" w:eastAsia="Times New Roman" w:hAnsi="Tahoma" w:cs="Tahoma"/>
          <w:i/>
          <w:lang w:val="es-ES_tradnl" w:eastAsia="es-ES"/>
        </w:rPr>
        <w:t xml:space="preserve">, toda vez que en el trámite del recurso de apelación </w:t>
      </w:r>
      <w:r w:rsidRPr="00A66741">
        <w:rPr>
          <w:rFonts w:ascii="Tahoma" w:eastAsia="Times New Roman" w:hAnsi="Tahoma" w:cs="Tahoma"/>
          <w:i/>
          <w:lang w:val="es-ES_tradnl" w:eastAsia="es-ES"/>
        </w:rPr>
        <w:lastRenderedPageBreak/>
        <w:t xml:space="preserve">(Expediente Nº 2433/2008.TC), interpuesta contra el otorgamiento de la Buena Pro de la Adjudicación Directa Selectiva Nº 04-2008/MTC, convocada por el Ministerio de Transportes y Comunicaciones, el propio Postor presentó ante este Tribunal la Factura Nº 001-000119 por S/. 15,418.00, no obstante ello, dicho documento habría </w:t>
      </w:r>
      <w:r w:rsidRPr="00A66741">
        <w:rPr>
          <w:rFonts w:ascii="Tahoma" w:eastAsia="Times New Roman" w:hAnsi="Tahoma" w:cs="Tahoma"/>
          <w:i/>
          <w:u w:val="single"/>
          <w:lang w:val="es-ES_tradnl" w:eastAsia="es-ES"/>
        </w:rPr>
        <w:t>sido girado a nombre de otra persona, es decir el Estudio Orellana &amp; León</w:t>
      </w:r>
      <w:r w:rsidRPr="00A66741">
        <w:rPr>
          <w:rFonts w:ascii="Tahoma" w:eastAsia="Times New Roman" w:hAnsi="Tahoma" w:cs="Tahoma"/>
          <w:i/>
          <w:lang w:val="es-ES_tradnl" w:eastAsia="es-ES"/>
        </w:rPr>
        <w:t>.</w:t>
      </w:r>
    </w:p>
    <w:p w:rsidR="00A66741" w:rsidRPr="00A66741" w:rsidRDefault="00A66741" w:rsidP="00A66741">
      <w:pPr>
        <w:spacing w:after="0" w:line="240" w:lineRule="auto"/>
        <w:ind w:left="567"/>
        <w:jc w:val="both"/>
        <w:rPr>
          <w:rFonts w:ascii="Tahoma" w:eastAsia="Times New Roman" w:hAnsi="Tahoma" w:cs="Tahoma"/>
          <w:i/>
          <w:lang w:val="es-ES" w:eastAsia="es-ES"/>
        </w:rPr>
      </w:pPr>
    </w:p>
    <w:p w:rsidR="00A66741" w:rsidRPr="00A66741" w:rsidRDefault="00A66741" w:rsidP="00A66741">
      <w:pPr>
        <w:spacing w:after="0" w:line="240" w:lineRule="auto"/>
        <w:ind w:left="567"/>
        <w:jc w:val="both"/>
        <w:rPr>
          <w:rFonts w:ascii="Tahoma" w:eastAsia="Times New Roman" w:hAnsi="Tahoma" w:cs="Tahoma"/>
          <w:i/>
          <w:lang w:val="es-ES" w:eastAsia="es-ES"/>
        </w:rPr>
      </w:pPr>
      <w:r w:rsidRPr="00A66741">
        <w:rPr>
          <w:rFonts w:ascii="Tahoma" w:eastAsia="Times New Roman" w:hAnsi="Tahoma" w:cs="Tahoma"/>
          <w:i/>
          <w:lang w:val="es-ES" w:eastAsia="es-ES"/>
        </w:rPr>
        <w:t>En efecto, obra en el presente procedimiento el escrito presentado el 08 de agosto de 2008, en el Expediente Nº 2433/2008.TC, mediante el cual el Postor presentó al Tribunal copias de cada una de las facturas que acreditan los pagos que el Estudio Orellana &amp; León efectuó a su favor por la realización de las prestaciones derivadas del Contrato de Locación de Servicio Nº 023-2005, entre las que se encontraba la Factura Nº 001-000119 por S/. 15,418.00.</w:t>
      </w:r>
    </w:p>
    <w:p w:rsidR="00A66741" w:rsidRPr="00A66741" w:rsidRDefault="00A66741" w:rsidP="00A66741">
      <w:pPr>
        <w:spacing w:after="0" w:line="240" w:lineRule="auto"/>
        <w:ind w:left="567"/>
        <w:jc w:val="both"/>
        <w:rPr>
          <w:rFonts w:ascii="Tahoma" w:eastAsia="Times New Roman" w:hAnsi="Tahoma" w:cs="Tahoma"/>
          <w:lang w:val="es-ES" w:eastAsia="es-ES"/>
        </w:rPr>
      </w:pPr>
    </w:p>
    <w:p w:rsidR="00A66741" w:rsidRPr="00A66741" w:rsidRDefault="00A66741" w:rsidP="00A66741">
      <w:pPr>
        <w:tabs>
          <w:tab w:val="left" w:pos="993"/>
        </w:tabs>
        <w:spacing w:after="0" w:line="240" w:lineRule="auto"/>
        <w:ind w:left="567"/>
        <w:jc w:val="both"/>
        <w:rPr>
          <w:rFonts w:ascii="Tahoma" w:eastAsia="Times New Roman" w:hAnsi="Tahoma" w:cs="Tahoma"/>
          <w:i/>
          <w:lang w:val="es-ES" w:eastAsia="es-ES"/>
        </w:rPr>
      </w:pPr>
      <w:r w:rsidRPr="00A66741">
        <w:rPr>
          <w:rFonts w:ascii="Tahoma" w:eastAsia="Times New Roman" w:hAnsi="Tahoma" w:cs="Tahoma"/>
          <w:i/>
          <w:lang w:val="es-ES" w:eastAsia="es-ES"/>
        </w:rPr>
        <w:t xml:space="preserve">Como se advierte, </w:t>
      </w:r>
      <w:r w:rsidRPr="00A66741">
        <w:rPr>
          <w:rFonts w:ascii="Tahoma" w:eastAsia="Times New Roman" w:hAnsi="Tahoma" w:cs="Tahoma"/>
          <w:i/>
          <w:u w:val="single"/>
          <w:lang w:val="es-ES" w:eastAsia="es-ES"/>
        </w:rPr>
        <w:t>al existir una declaración del propio Postor acreditando que la Factura Nº 001-000119 ha sido girada a favor del Estudio Orellana &amp; León</w:t>
      </w:r>
      <w:r w:rsidRPr="00A66741">
        <w:rPr>
          <w:rFonts w:ascii="Tahoma" w:eastAsia="Times New Roman" w:hAnsi="Tahoma" w:cs="Tahoma"/>
          <w:i/>
          <w:lang w:val="es-ES" w:eastAsia="es-ES"/>
        </w:rPr>
        <w:t xml:space="preserve">, en tal sentido, dicha declaración resulta elemento suficiente para desvirtuar la presunción de veracidad y licitud que recaía sobre el documento cuestionado, es decir la Factura Nº 001-000119 supuestamente girada a favor de la empresa REDSEGUR S.A., al haberse verificado que </w:t>
      </w:r>
      <w:r w:rsidRPr="00A66741">
        <w:rPr>
          <w:rFonts w:ascii="Tahoma" w:eastAsia="Times New Roman" w:hAnsi="Tahoma" w:cs="Tahoma"/>
          <w:i/>
          <w:u w:val="single"/>
          <w:lang w:val="es-ES" w:eastAsia="es-ES"/>
        </w:rPr>
        <w:t>la relación contractual contenida en dicha factura se dio con el Estudio Orellana &amp; León; y no con la empresa REDSEGUR S.A.</w:t>
      </w:r>
      <w:r w:rsidRPr="00A66741">
        <w:rPr>
          <w:rFonts w:ascii="Tahoma" w:eastAsia="Times New Roman" w:hAnsi="Tahoma" w:cs="Tahoma"/>
          <w:i/>
          <w:lang w:val="es-ES" w:eastAsia="es-ES"/>
        </w:rPr>
        <w:t>, en tal sentido, la relación contractual contenida en el documento cuestionado es inexistente, y por tanto, se concluye que el mismo es falso en su contenido.</w:t>
      </w:r>
    </w:p>
    <w:p w:rsidR="00A66741" w:rsidRPr="00A66741" w:rsidRDefault="00A66741" w:rsidP="00A66741">
      <w:pPr>
        <w:spacing w:after="0" w:line="240" w:lineRule="auto"/>
        <w:ind w:left="567"/>
        <w:jc w:val="both"/>
        <w:rPr>
          <w:rFonts w:ascii="Tahoma" w:eastAsia="Times New Roman" w:hAnsi="Tahoma" w:cs="Tahoma"/>
          <w:lang w:val="es-ES" w:eastAsia="es-PE"/>
        </w:rPr>
      </w:pPr>
      <w:r w:rsidRPr="00A66741">
        <w:rPr>
          <w:rFonts w:ascii="Tahoma" w:eastAsia="Times New Roman" w:hAnsi="Tahoma" w:cs="Tahoma"/>
          <w:lang w:val="es-ES" w:eastAsia="es-PE"/>
        </w:rPr>
        <w:t>(…)</w:t>
      </w:r>
    </w:p>
    <w:p w:rsidR="00A66741" w:rsidRPr="00A66741" w:rsidRDefault="00A66741" w:rsidP="00A66741">
      <w:pPr>
        <w:spacing w:after="0" w:line="240" w:lineRule="auto"/>
        <w:ind w:left="567"/>
        <w:jc w:val="both"/>
        <w:rPr>
          <w:rFonts w:ascii="Tahoma" w:eastAsia="Times New Roman" w:hAnsi="Tahoma" w:cs="Tahoma"/>
          <w:lang w:val="es-ES" w:eastAsia="es-PE"/>
        </w:rPr>
      </w:pPr>
    </w:p>
    <w:p w:rsidR="00A66741" w:rsidRPr="00A66741" w:rsidRDefault="00A66741" w:rsidP="00A66741">
      <w:pPr>
        <w:numPr>
          <w:ilvl w:val="0"/>
          <w:numId w:val="11"/>
        </w:numPr>
        <w:spacing w:after="0" w:line="240" w:lineRule="auto"/>
        <w:ind w:left="567" w:hanging="567"/>
        <w:jc w:val="both"/>
        <w:rPr>
          <w:rFonts w:ascii="Tahoma" w:eastAsia="Times New Roman" w:hAnsi="Tahoma" w:cs="Tahoma"/>
          <w:lang w:val="es-ES" w:eastAsia="es-PE"/>
        </w:rPr>
      </w:pPr>
      <w:r w:rsidRPr="00A66741">
        <w:rPr>
          <w:rFonts w:ascii="Tahoma" w:eastAsia="Times New Roman" w:hAnsi="Tahoma" w:cs="Tahoma"/>
          <w:lang w:val="es-ES" w:eastAsia="es-PE"/>
        </w:rPr>
        <w:t>Al respecto, como se ha podido ver de la lectura de la Resolución Nº 2240/2010.TC-S1 del 29 de noviembre de 2010, se le impuso sanción administrativa al postor, pues, se determinó que la</w:t>
      </w:r>
      <w:r w:rsidRPr="00A66741">
        <w:rPr>
          <w:rFonts w:ascii="Tahoma" w:eastAsia="Times New Roman" w:hAnsi="Tahoma" w:cs="Tahoma"/>
          <w:lang w:val="es-ES_tradnl" w:eastAsia="es-PE"/>
        </w:rPr>
        <w:t xml:space="preserve"> Factura Nº 001-119 emitida a favor de la empresa</w:t>
      </w:r>
      <w:r w:rsidRPr="00A66741">
        <w:rPr>
          <w:rFonts w:ascii="Tahoma" w:eastAsia="Times New Roman" w:hAnsi="Tahoma" w:cs="Tahoma"/>
          <w:lang w:val="es-ES" w:eastAsia="es-PE"/>
        </w:rPr>
        <w:t>REDSEGUR S.A.  consistía en un documento falso, considerando que,la relación contractual contenida en dicha Factura 001-119 se había dado efectivamente con el Estudio Orellana &amp; León.</w:t>
      </w:r>
    </w:p>
    <w:p w:rsidR="00A66741" w:rsidRPr="00A66741" w:rsidRDefault="00A66741" w:rsidP="00A66741">
      <w:pPr>
        <w:spacing w:after="0" w:line="240" w:lineRule="auto"/>
        <w:ind w:left="708"/>
        <w:rPr>
          <w:rFonts w:ascii="Tahoma" w:eastAsia="Times New Roman" w:hAnsi="Tahoma" w:cs="Tahoma"/>
          <w:lang w:val="es-ES" w:eastAsia="es-ES"/>
        </w:rPr>
      </w:pPr>
    </w:p>
    <w:p w:rsidR="00A66741" w:rsidRPr="00A66741" w:rsidRDefault="00A66741" w:rsidP="00A66741">
      <w:pPr>
        <w:numPr>
          <w:ilvl w:val="0"/>
          <w:numId w:val="11"/>
        </w:numPr>
        <w:tabs>
          <w:tab w:val="left" w:pos="0"/>
        </w:tabs>
        <w:spacing w:after="0" w:line="240" w:lineRule="auto"/>
        <w:ind w:left="567" w:hanging="567"/>
        <w:jc w:val="both"/>
        <w:rPr>
          <w:rFonts w:ascii="Tahoma" w:eastAsia="Times New Roman" w:hAnsi="Tahoma" w:cs="Tahoma"/>
          <w:lang w:val="es-ES" w:eastAsia="es-ES"/>
        </w:rPr>
      </w:pPr>
      <w:r w:rsidRPr="00A66741">
        <w:rPr>
          <w:rFonts w:ascii="Tahoma" w:eastAsia="Times New Roman" w:hAnsi="Tahoma" w:cs="Tahoma"/>
          <w:lang w:val="es-ES" w:eastAsia="es-ES"/>
        </w:rPr>
        <w:t xml:space="preserve">En este sentido, siguiendo lo dispuesto en la Resolución Nº 2240/2010.TC-S1 del 29 de noviembre de 2010, donde determina que la Factura Nº 001-119, fue emitida a favor de la empresa </w:t>
      </w:r>
      <w:r w:rsidRPr="00A66741">
        <w:rPr>
          <w:rFonts w:ascii="Tahoma" w:eastAsia="Times New Roman" w:hAnsi="Tahoma" w:cs="Tahoma"/>
          <w:lang w:val="es-ES_tradnl" w:eastAsia="es-ES"/>
        </w:rPr>
        <w:t>Orellana Abogados y Consultores S.A.C.</w:t>
      </w:r>
      <w:r w:rsidRPr="00A66741">
        <w:rPr>
          <w:rFonts w:ascii="Tahoma" w:eastAsia="Times New Roman" w:hAnsi="Tahoma" w:cs="Tahoma"/>
          <w:lang w:val="es-ES" w:eastAsia="es-ES"/>
        </w:rPr>
        <w:t>, y analizadas las mismas circunstancias, este Colegiado ha resuelto seguir el sentido de la Resolución antes comentada; consecuentemente, no habiéndose materializado los supuestos de hecho necesarios para la configuración de la infracción imputada, corresponde eximir de responsabilidad al Postor respecto de la materia denunciada, debiendo archivarse el expediente.</w:t>
      </w:r>
    </w:p>
    <w:p w:rsidR="00A66741" w:rsidRPr="00A66741" w:rsidRDefault="00A66741" w:rsidP="00A66741">
      <w:pPr>
        <w:ind w:left="720"/>
        <w:contextualSpacing/>
        <w:rPr>
          <w:rFonts w:ascii="Tahoma" w:eastAsia="Times New Roman" w:hAnsi="Tahoma" w:cs="Tahoma"/>
          <w:lang w:val="es-ES" w:eastAsia="es-ES"/>
        </w:rPr>
      </w:pPr>
    </w:p>
    <w:p w:rsidR="00A66741" w:rsidRPr="00A66741" w:rsidRDefault="00A66741" w:rsidP="00A66741">
      <w:pPr>
        <w:tabs>
          <w:tab w:val="left" w:pos="180"/>
        </w:tabs>
        <w:spacing w:after="0" w:line="240" w:lineRule="auto"/>
        <w:ind w:left="180" w:firstLine="540"/>
        <w:jc w:val="both"/>
        <w:rPr>
          <w:rFonts w:ascii="Tahoma" w:eastAsia="Calibri" w:hAnsi="Tahoma" w:cs="Tahoma"/>
          <w:color w:val="000000"/>
          <w:lang w:val="es-ES" w:eastAsia="es-ES"/>
        </w:rPr>
      </w:pPr>
      <w:r w:rsidRPr="00A66741">
        <w:rPr>
          <w:rFonts w:ascii="Tahoma" w:hAnsi="Tahoma" w:cs="Tahoma"/>
          <w:color w:val="000000"/>
        </w:rPr>
        <w:lastRenderedPageBreak/>
        <w:t>Por estos fundamentos, de conformidad con el informe de la Vocal Ponente Dra. Dammar Salazar Díaz,  y la intervención de las Vocales Dra. Ada BasultoLiewald y Dra. Wina Isasi Berrospi, atendiendo a la reconformación de la Primera Sala del Tribunal de Contrataciones del Estado, según lo dispuesto en la Resolución Nº 574-2011-OSCE/PRE de fecha 02 de setiembre de 2011; en ejercicio de las facultades conferidas en el artículo 63º de la Ley de Contrataciones del Estado, aprobado por Decreto Legislativo Nº 1017, y su segunda disposición complementaria transitoria, así como los artículos 17º y 18º del Reglamento de Organización y Funciones del OSCE, aprobado por Decreto Supremo Nº 006-2009-EF; analizados los antecedentes y luego de agotado el debate correspondiente, por unanimidad</w:t>
      </w:r>
      <w:r w:rsidRPr="00A66741">
        <w:rPr>
          <w:rFonts w:ascii="Tahoma" w:eastAsia="Calibri" w:hAnsi="Tahoma" w:cs="Tahoma"/>
          <w:color w:val="000000"/>
          <w:lang w:val="es-ES" w:eastAsia="es-ES"/>
        </w:rPr>
        <w:t>.</w:t>
      </w:r>
    </w:p>
    <w:p w:rsidR="00A66741" w:rsidRPr="00A66741" w:rsidRDefault="00A66741" w:rsidP="00A66741">
      <w:pPr>
        <w:spacing w:after="0" w:line="240" w:lineRule="auto"/>
        <w:rPr>
          <w:rFonts w:ascii="Tahoma" w:eastAsia="Calibri" w:hAnsi="Tahoma" w:cs="Tahoma"/>
          <w:color w:val="000000"/>
          <w:sz w:val="21"/>
          <w:szCs w:val="21"/>
          <w:lang w:val="es-ES" w:eastAsia="es-ES"/>
        </w:rPr>
      </w:pPr>
    </w:p>
    <w:p w:rsidR="00A66741" w:rsidRPr="00A66741" w:rsidRDefault="00A66741" w:rsidP="00A66741">
      <w:pPr>
        <w:spacing w:after="0" w:line="240" w:lineRule="auto"/>
        <w:ind w:firstLine="708"/>
        <w:jc w:val="both"/>
        <w:rPr>
          <w:rFonts w:ascii="Tahoma" w:eastAsia="Times New Roman" w:hAnsi="Tahoma" w:cs="Tahoma"/>
          <w:b/>
          <w:sz w:val="21"/>
          <w:szCs w:val="21"/>
          <w:lang w:val="es-ES" w:eastAsia="es-ES"/>
        </w:rPr>
      </w:pPr>
    </w:p>
    <w:p w:rsidR="00A66741" w:rsidRDefault="00A66741" w:rsidP="00A66741">
      <w:pPr>
        <w:spacing w:after="0" w:line="240" w:lineRule="auto"/>
        <w:ind w:firstLine="708"/>
        <w:jc w:val="both"/>
        <w:rPr>
          <w:rFonts w:ascii="Tahoma" w:eastAsia="Times New Roman" w:hAnsi="Tahoma" w:cs="Tahoma"/>
          <w:b/>
          <w:sz w:val="21"/>
          <w:szCs w:val="21"/>
          <w:lang w:val="es-ES" w:eastAsia="es-ES"/>
        </w:rPr>
      </w:pPr>
      <w:smartTag w:uri="urn:schemas-microsoft-com:office:smarttags" w:element="PersonName">
        <w:smartTagPr>
          <w:attr w:name="ProductID" w:val="LA SALA RESUELVE"/>
        </w:smartTagPr>
        <w:r w:rsidRPr="00A66741">
          <w:rPr>
            <w:rFonts w:ascii="Tahoma" w:eastAsia="Times New Roman" w:hAnsi="Tahoma" w:cs="Tahoma"/>
            <w:b/>
            <w:sz w:val="21"/>
            <w:szCs w:val="21"/>
            <w:lang w:val="es-ES" w:eastAsia="es-ES"/>
          </w:rPr>
          <w:t>LA SALA RESUELVE</w:t>
        </w:r>
      </w:smartTag>
      <w:r w:rsidRPr="00A66741">
        <w:rPr>
          <w:rFonts w:ascii="Tahoma" w:eastAsia="Times New Roman" w:hAnsi="Tahoma" w:cs="Tahoma"/>
          <w:b/>
          <w:sz w:val="21"/>
          <w:szCs w:val="21"/>
          <w:lang w:val="es-ES" w:eastAsia="es-ES"/>
        </w:rPr>
        <w:t xml:space="preserve">: </w:t>
      </w:r>
    </w:p>
    <w:p w:rsidR="00A66741" w:rsidRPr="00A66741" w:rsidRDefault="00A66741" w:rsidP="00A66741">
      <w:pPr>
        <w:spacing w:after="0" w:line="240" w:lineRule="auto"/>
        <w:ind w:firstLine="708"/>
        <w:jc w:val="both"/>
        <w:rPr>
          <w:rFonts w:ascii="Tahoma" w:eastAsia="Times New Roman" w:hAnsi="Tahoma" w:cs="Tahoma"/>
          <w:b/>
          <w:sz w:val="21"/>
          <w:szCs w:val="21"/>
          <w:lang w:val="es-ES" w:eastAsia="es-ES"/>
        </w:rPr>
      </w:pPr>
    </w:p>
    <w:p w:rsidR="00A66741" w:rsidRPr="00A66741" w:rsidRDefault="00A66741" w:rsidP="00A66741">
      <w:pPr>
        <w:spacing w:after="0" w:line="240" w:lineRule="auto"/>
        <w:ind w:firstLine="708"/>
        <w:jc w:val="both"/>
        <w:rPr>
          <w:rFonts w:ascii="Tahoma" w:eastAsia="Times New Roman" w:hAnsi="Tahoma" w:cs="Tahoma"/>
          <w:b/>
          <w:sz w:val="21"/>
          <w:szCs w:val="21"/>
          <w:lang w:val="es-ES" w:eastAsia="es-ES"/>
        </w:rPr>
      </w:pPr>
    </w:p>
    <w:p w:rsidR="00A66741" w:rsidRPr="00A66741" w:rsidRDefault="00A66741" w:rsidP="00A66741">
      <w:pPr>
        <w:numPr>
          <w:ilvl w:val="0"/>
          <w:numId w:val="6"/>
        </w:numPr>
        <w:tabs>
          <w:tab w:val="num" w:pos="540"/>
        </w:tabs>
        <w:spacing w:after="0" w:line="240" w:lineRule="auto"/>
        <w:ind w:left="540" w:right="-234" w:hanging="567"/>
        <w:contextualSpacing/>
        <w:jc w:val="both"/>
        <w:rPr>
          <w:rFonts w:ascii="Tahoma" w:eastAsia="Times New Roman" w:hAnsi="Tahoma" w:cs="Tahoma"/>
          <w:lang w:val="es-ES" w:eastAsia="es-ES"/>
        </w:rPr>
      </w:pPr>
      <w:r w:rsidRPr="00A66741">
        <w:rPr>
          <w:rFonts w:ascii="Tahoma" w:eastAsia="Times New Roman" w:hAnsi="Tahoma" w:cs="Tahoma"/>
          <w:lang w:val="es-ES" w:eastAsia="es-ES"/>
        </w:rPr>
        <w:t xml:space="preserve">Declarar No Ha Lugar la aplicación de sanción contra la empresa PROAGRO IMPORT &amp; EXPORT S.A.C., de acuerdo a los fundamentos expuestos en la parte considerativa de la presente Resolución. </w:t>
      </w:r>
    </w:p>
    <w:p w:rsidR="00A66741" w:rsidRPr="00A66741" w:rsidRDefault="00A66741" w:rsidP="00A66741">
      <w:pPr>
        <w:spacing w:after="0" w:line="240" w:lineRule="auto"/>
        <w:ind w:left="540" w:right="-234"/>
        <w:contextualSpacing/>
        <w:jc w:val="both"/>
        <w:rPr>
          <w:rFonts w:ascii="Tahoma" w:eastAsia="Times New Roman" w:hAnsi="Tahoma" w:cs="Tahoma"/>
          <w:lang w:val="es-ES" w:eastAsia="es-ES"/>
        </w:rPr>
      </w:pPr>
    </w:p>
    <w:p w:rsidR="00A66741" w:rsidRPr="00A66741" w:rsidRDefault="00A66741" w:rsidP="00A66741">
      <w:pPr>
        <w:numPr>
          <w:ilvl w:val="0"/>
          <w:numId w:val="6"/>
        </w:numPr>
        <w:tabs>
          <w:tab w:val="num" w:pos="540"/>
        </w:tabs>
        <w:spacing w:after="0" w:line="240" w:lineRule="auto"/>
        <w:ind w:left="540" w:right="-234" w:hanging="567"/>
        <w:contextualSpacing/>
        <w:jc w:val="both"/>
        <w:rPr>
          <w:rFonts w:ascii="Tahoma" w:eastAsia="Times New Roman" w:hAnsi="Tahoma" w:cs="Tahoma"/>
          <w:lang w:val="es-ES" w:eastAsia="es-ES"/>
        </w:rPr>
      </w:pPr>
      <w:r w:rsidRPr="00A66741">
        <w:rPr>
          <w:rFonts w:ascii="Tahoma" w:eastAsia="Times New Roman" w:hAnsi="Tahoma" w:cs="Tahoma"/>
          <w:lang w:val="es-ES" w:eastAsia="es-ES"/>
        </w:rPr>
        <w:t>Archivarse el presente expediente administrativo.</w:t>
      </w:r>
    </w:p>
    <w:p w:rsidR="00A66741" w:rsidRPr="00A66741" w:rsidRDefault="00A66741" w:rsidP="00A66741">
      <w:pPr>
        <w:tabs>
          <w:tab w:val="num" w:pos="540"/>
        </w:tabs>
        <w:spacing w:after="0" w:line="240" w:lineRule="auto"/>
        <w:ind w:right="-1"/>
        <w:jc w:val="both"/>
        <w:rPr>
          <w:rFonts w:ascii="Tahoma" w:eastAsia="Times New Roman" w:hAnsi="Tahoma" w:cs="Tahoma"/>
          <w:lang w:val="es-ES" w:eastAsia="es-ES"/>
        </w:rPr>
      </w:pPr>
    </w:p>
    <w:p w:rsidR="00A66741" w:rsidRPr="00A66741" w:rsidRDefault="00A66741" w:rsidP="00A66741">
      <w:pPr>
        <w:tabs>
          <w:tab w:val="num" w:pos="540"/>
        </w:tabs>
        <w:spacing w:after="0" w:line="240" w:lineRule="auto"/>
        <w:ind w:right="-1"/>
        <w:jc w:val="both"/>
        <w:rPr>
          <w:rFonts w:ascii="Tahoma" w:eastAsia="Times New Roman" w:hAnsi="Tahoma" w:cs="Tahoma"/>
          <w:lang w:val="es-ES" w:eastAsia="es-ES"/>
        </w:rPr>
      </w:pPr>
    </w:p>
    <w:p w:rsidR="00A66741" w:rsidRPr="00A66741" w:rsidRDefault="00A66741" w:rsidP="00A66741">
      <w:pPr>
        <w:spacing w:after="0" w:line="240" w:lineRule="auto"/>
        <w:ind w:firstLine="567"/>
        <w:jc w:val="both"/>
        <w:rPr>
          <w:rFonts w:ascii="Tahoma" w:eastAsia="Times New Roman" w:hAnsi="Tahoma" w:cs="Tahoma"/>
          <w:sz w:val="21"/>
          <w:szCs w:val="21"/>
          <w:lang w:val="es-ES" w:eastAsia="es-ES"/>
        </w:rPr>
      </w:pPr>
      <w:r w:rsidRPr="00A66741">
        <w:rPr>
          <w:rFonts w:ascii="Tahoma" w:eastAsia="Times New Roman" w:hAnsi="Tahoma" w:cs="Tahoma"/>
          <w:sz w:val="21"/>
          <w:szCs w:val="21"/>
          <w:lang w:val="es-ES" w:eastAsia="es-ES"/>
        </w:rPr>
        <w:t>Regístrese, comuníquese y publíquese.</w:t>
      </w:r>
    </w:p>
    <w:p w:rsidR="00A66741" w:rsidRPr="00A66741" w:rsidRDefault="00A66741" w:rsidP="00A66741">
      <w:pPr>
        <w:spacing w:after="0" w:line="240" w:lineRule="auto"/>
        <w:rPr>
          <w:rFonts w:ascii="Tahoma" w:eastAsia="Times New Roman" w:hAnsi="Tahoma" w:cs="Tahoma"/>
          <w:sz w:val="21"/>
          <w:szCs w:val="21"/>
          <w:lang w:val="es-ES" w:eastAsia="es-ES"/>
        </w:rPr>
      </w:pPr>
    </w:p>
    <w:p w:rsidR="00A66741" w:rsidRPr="00A66741" w:rsidRDefault="00A66741" w:rsidP="00A66741">
      <w:pPr>
        <w:spacing w:after="0" w:line="240" w:lineRule="auto"/>
        <w:rPr>
          <w:rFonts w:ascii="Tahoma" w:eastAsia="Times New Roman" w:hAnsi="Tahoma" w:cs="Tahoma"/>
          <w:sz w:val="21"/>
          <w:szCs w:val="21"/>
          <w:lang w:val="es-ES" w:eastAsia="es-ES"/>
        </w:rPr>
      </w:pPr>
    </w:p>
    <w:p w:rsidR="00A66741" w:rsidRPr="00A66741" w:rsidRDefault="00A66741" w:rsidP="00A66741">
      <w:pPr>
        <w:spacing w:after="0" w:line="240" w:lineRule="auto"/>
        <w:rPr>
          <w:rFonts w:ascii="Tahoma" w:eastAsia="Times New Roman" w:hAnsi="Tahoma" w:cs="Tahoma"/>
          <w:sz w:val="21"/>
          <w:szCs w:val="21"/>
          <w:lang w:val="es-ES" w:eastAsia="es-ES"/>
        </w:rPr>
      </w:pPr>
    </w:p>
    <w:p w:rsidR="00A66741" w:rsidRPr="00A66741" w:rsidRDefault="00A66741" w:rsidP="00A66741">
      <w:pPr>
        <w:spacing w:after="0" w:line="240" w:lineRule="auto"/>
        <w:rPr>
          <w:rFonts w:ascii="Tahoma" w:eastAsia="Times New Roman" w:hAnsi="Tahoma" w:cs="Tahoma"/>
          <w:sz w:val="21"/>
          <w:szCs w:val="21"/>
          <w:lang w:val="es-ES" w:eastAsia="es-ES"/>
        </w:rPr>
      </w:pPr>
    </w:p>
    <w:p w:rsidR="00A66741" w:rsidRPr="00A66741" w:rsidRDefault="00A66741" w:rsidP="00A66741">
      <w:pPr>
        <w:spacing w:after="0" w:line="240" w:lineRule="auto"/>
        <w:jc w:val="center"/>
        <w:rPr>
          <w:rFonts w:ascii="Tahoma" w:eastAsia="Times New Roman" w:hAnsi="Tahoma" w:cs="Tahoma"/>
          <w:b/>
          <w:sz w:val="21"/>
          <w:szCs w:val="21"/>
          <w:lang w:val="es-ES" w:eastAsia="es-ES"/>
        </w:rPr>
      </w:pPr>
      <w:r w:rsidRPr="00A66741">
        <w:rPr>
          <w:rFonts w:ascii="Tahoma" w:eastAsia="Times New Roman" w:hAnsi="Tahoma" w:cs="Tahoma"/>
          <w:b/>
          <w:sz w:val="21"/>
          <w:szCs w:val="21"/>
          <w:lang w:val="es-ES" w:eastAsia="es-ES"/>
        </w:rPr>
        <w:t>PRESIDENTA</w:t>
      </w:r>
    </w:p>
    <w:p w:rsidR="00A66741" w:rsidRPr="00A66741" w:rsidRDefault="00A66741" w:rsidP="00A66741">
      <w:pPr>
        <w:spacing w:after="0" w:line="240" w:lineRule="auto"/>
        <w:rPr>
          <w:rFonts w:ascii="Tahoma" w:eastAsia="Times New Roman" w:hAnsi="Tahoma" w:cs="Tahoma"/>
          <w:b/>
          <w:sz w:val="21"/>
          <w:szCs w:val="21"/>
          <w:lang w:val="es-ES" w:eastAsia="es-ES"/>
        </w:rPr>
      </w:pPr>
    </w:p>
    <w:p w:rsidR="00A66741" w:rsidRPr="00A66741" w:rsidRDefault="00A66741" w:rsidP="00A66741">
      <w:pPr>
        <w:spacing w:after="0" w:line="240" w:lineRule="auto"/>
        <w:rPr>
          <w:rFonts w:ascii="Tahoma" w:eastAsia="Times New Roman" w:hAnsi="Tahoma" w:cs="Tahoma"/>
          <w:b/>
          <w:sz w:val="21"/>
          <w:szCs w:val="21"/>
          <w:lang w:val="es-ES" w:eastAsia="es-ES"/>
        </w:rPr>
      </w:pPr>
    </w:p>
    <w:p w:rsidR="00A66741" w:rsidRPr="00A66741" w:rsidRDefault="00A66741" w:rsidP="00A66741">
      <w:pPr>
        <w:spacing w:after="0" w:line="240" w:lineRule="auto"/>
        <w:jc w:val="both"/>
        <w:rPr>
          <w:rFonts w:ascii="Tahoma" w:eastAsia="Times New Roman" w:hAnsi="Tahoma" w:cs="Tahoma"/>
          <w:b/>
          <w:sz w:val="21"/>
          <w:szCs w:val="21"/>
          <w:lang w:val="es-ES" w:eastAsia="es-ES"/>
        </w:rPr>
      </w:pPr>
    </w:p>
    <w:p w:rsidR="00A66741" w:rsidRPr="00A66741" w:rsidRDefault="00A66741" w:rsidP="00A66741">
      <w:pPr>
        <w:spacing w:after="0" w:line="240" w:lineRule="auto"/>
        <w:jc w:val="both"/>
        <w:rPr>
          <w:rFonts w:ascii="Tahoma" w:eastAsia="Times New Roman" w:hAnsi="Tahoma" w:cs="Tahoma"/>
          <w:b/>
          <w:sz w:val="21"/>
          <w:szCs w:val="21"/>
          <w:lang w:val="es-ES" w:eastAsia="es-ES"/>
        </w:rPr>
      </w:pPr>
    </w:p>
    <w:p w:rsidR="00A66741" w:rsidRPr="00A66741" w:rsidRDefault="00A66741" w:rsidP="00A66741">
      <w:pPr>
        <w:spacing w:after="0" w:line="240" w:lineRule="auto"/>
        <w:jc w:val="both"/>
        <w:rPr>
          <w:rFonts w:ascii="Tahoma" w:eastAsia="Times New Roman" w:hAnsi="Tahoma" w:cs="Tahoma"/>
          <w:sz w:val="21"/>
          <w:szCs w:val="21"/>
          <w:lang w:val="es-ES" w:eastAsia="es-ES"/>
        </w:rPr>
      </w:pPr>
      <w:r w:rsidRPr="00A66741">
        <w:rPr>
          <w:rFonts w:ascii="Tahoma" w:eastAsia="Times New Roman" w:hAnsi="Tahoma" w:cs="Tahoma"/>
          <w:b/>
          <w:sz w:val="21"/>
          <w:szCs w:val="21"/>
          <w:lang w:val="es-ES" w:eastAsia="es-ES"/>
        </w:rPr>
        <w:t xml:space="preserve">                     VOCAL                                                                                   VOCAL</w:t>
      </w:r>
    </w:p>
    <w:p w:rsidR="00A66741" w:rsidRPr="00A66741" w:rsidRDefault="00A66741" w:rsidP="00A66741">
      <w:pPr>
        <w:spacing w:after="0" w:line="240" w:lineRule="auto"/>
        <w:jc w:val="both"/>
        <w:rPr>
          <w:rFonts w:ascii="Tahoma" w:eastAsia="Times New Roman" w:hAnsi="Tahoma" w:cs="Tahoma"/>
          <w:sz w:val="21"/>
          <w:szCs w:val="21"/>
          <w:lang w:val="es-ES" w:eastAsia="es-ES"/>
        </w:rPr>
      </w:pPr>
    </w:p>
    <w:p w:rsidR="00A66741" w:rsidRPr="00A66741" w:rsidRDefault="00A66741" w:rsidP="00A66741">
      <w:pPr>
        <w:tabs>
          <w:tab w:val="left" w:pos="3544"/>
          <w:tab w:val="left" w:pos="7230"/>
          <w:tab w:val="left" w:pos="8505"/>
        </w:tabs>
        <w:spacing w:after="0" w:line="240" w:lineRule="auto"/>
        <w:ind w:right="-486"/>
        <w:jc w:val="both"/>
        <w:rPr>
          <w:rFonts w:ascii="Tahoma" w:eastAsia="Times New Roman" w:hAnsi="Tahoma" w:cs="Tahoma"/>
          <w:sz w:val="21"/>
          <w:szCs w:val="21"/>
          <w:lang w:val="pt-BR" w:eastAsia="es-ES"/>
        </w:rPr>
      </w:pPr>
      <w:r w:rsidRPr="00A66741">
        <w:rPr>
          <w:rFonts w:ascii="Tahoma" w:eastAsia="Times New Roman" w:hAnsi="Tahoma" w:cs="Tahoma"/>
          <w:sz w:val="21"/>
          <w:szCs w:val="21"/>
          <w:lang w:val="pt-BR" w:eastAsia="es-ES"/>
        </w:rPr>
        <w:t>ss.</w:t>
      </w:r>
    </w:p>
    <w:p w:rsidR="00A66741" w:rsidRPr="00A66741" w:rsidRDefault="00A66741" w:rsidP="00A66741">
      <w:pPr>
        <w:tabs>
          <w:tab w:val="left" w:pos="3544"/>
          <w:tab w:val="left" w:pos="7230"/>
          <w:tab w:val="left" w:pos="8505"/>
        </w:tabs>
        <w:spacing w:after="0" w:line="240" w:lineRule="auto"/>
        <w:ind w:right="-486"/>
        <w:jc w:val="both"/>
        <w:rPr>
          <w:rFonts w:ascii="Tahoma" w:eastAsia="Times New Roman" w:hAnsi="Tahoma" w:cs="Tahoma"/>
          <w:sz w:val="21"/>
          <w:szCs w:val="21"/>
          <w:lang w:val="pt-BR" w:eastAsia="es-ES"/>
        </w:rPr>
      </w:pPr>
      <w:r w:rsidRPr="00A66741">
        <w:rPr>
          <w:rFonts w:ascii="Tahoma" w:eastAsia="Times New Roman" w:hAnsi="Tahoma" w:cs="Tahoma"/>
          <w:sz w:val="21"/>
          <w:szCs w:val="21"/>
          <w:lang w:val="pt-BR" w:eastAsia="es-ES"/>
        </w:rPr>
        <w:t>BasultoLiewald.</w:t>
      </w:r>
    </w:p>
    <w:p w:rsidR="00A66741" w:rsidRPr="00A66741" w:rsidRDefault="00A66741" w:rsidP="00A66741">
      <w:pPr>
        <w:tabs>
          <w:tab w:val="left" w:pos="3544"/>
          <w:tab w:val="left" w:pos="7230"/>
          <w:tab w:val="left" w:pos="8505"/>
        </w:tabs>
        <w:spacing w:after="0" w:line="240" w:lineRule="auto"/>
        <w:ind w:right="-486"/>
        <w:jc w:val="both"/>
        <w:rPr>
          <w:rFonts w:ascii="Tahoma" w:eastAsia="Times New Roman" w:hAnsi="Tahoma" w:cs="Tahoma"/>
          <w:b/>
          <w:color w:val="000000"/>
          <w:sz w:val="21"/>
          <w:szCs w:val="21"/>
          <w:lang w:val="es-ES" w:eastAsia="es-ES"/>
        </w:rPr>
      </w:pPr>
      <w:r w:rsidRPr="00A66741">
        <w:rPr>
          <w:rFonts w:ascii="Tahoma" w:eastAsia="Times New Roman" w:hAnsi="Tahoma" w:cs="Tahoma"/>
          <w:b/>
          <w:color w:val="000000"/>
          <w:sz w:val="21"/>
          <w:szCs w:val="21"/>
          <w:lang w:val="es-ES" w:eastAsia="es-ES"/>
        </w:rPr>
        <w:t>Salazar Díaz.</w:t>
      </w:r>
    </w:p>
    <w:p w:rsidR="006A36C8" w:rsidRDefault="00A66741" w:rsidP="00180973">
      <w:pPr>
        <w:tabs>
          <w:tab w:val="left" w:pos="3544"/>
          <w:tab w:val="left" w:pos="7230"/>
          <w:tab w:val="left" w:pos="8505"/>
        </w:tabs>
        <w:spacing w:after="0" w:line="240" w:lineRule="auto"/>
        <w:ind w:right="-486"/>
        <w:jc w:val="both"/>
      </w:pPr>
      <w:r w:rsidRPr="00A66741">
        <w:rPr>
          <w:rFonts w:ascii="Tahoma" w:eastAsia="Times New Roman" w:hAnsi="Tahoma" w:cs="Tahoma"/>
          <w:color w:val="000000"/>
          <w:sz w:val="21"/>
          <w:szCs w:val="21"/>
          <w:lang w:val="es-ES" w:eastAsia="es-ES"/>
        </w:rPr>
        <w:t>Isasi Berrospi.</w:t>
      </w:r>
    </w:p>
    <w:sectPr w:rsidR="006A36C8" w:rsidSect="00180973">
      <w:headerReference w:type="default" r:id="rId7"/>
      <w:footerReference w:type="default" r:id="rId8"/>
      <w:pgSz w:w="12240" w:h="15840" w:code="1"/>
      <w:pgMar w:top="3544"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431" w:rsidRDefault="00883431" w:rsidP="00A66741">
      <w:pPr>
        <w:spacing w:after="0" w:line="240" w:lineRule="auto"/>
      </w:pPr>
      <w:r>
        <w:separator/>
      </w:r>
    </w:p>
  </w:endnote>
  <w:endnote w:type="continuationSeparator" w:id="1">
    <w:p w:rsidR="00883431" w:rsidRDefault="00883431" w:rsidP="00A667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0134683"/>
      <w:docPartObj>
        <w:docPartGallery w:val="Page Numbers (Bottom of Page)"/>
        <w:docPartUnique/>
      </w:docPartObj>
    </w:sdtPr>
    <w:sdtContent>
      <w:sdt>
        <w:sdtPr>
          <w:id w:val="-1669238322"/>
          <w:docPartObj>
            <w:docPartGallery w:val="Page Numbers (Top of Page)"/>
            <w:docPartUnique/>
          </w:docPartObj>
        </w:sdtPr>
        <w:sdtContent>
          <w:p w:rsidR="004C42BB" w:rsidRDefault="00FB2EC7">
            <w:pPr>
              <w:pStyle w:val="Piedepgina"/>
              <w:jc w:val="center"/>
            </w:pPr>
            <w:r>
              <w:rPr>
                <w:lang w:val="es-ES"/>
              </w:rPr>
              <w:t xml:space="preserve">Página </w:t>
            </w:r>
            <w:r w:rsidR="003B15BC">
              <w:rPr>
                <w:b/>
                <w:bCs/>
                <w:sz w:val="24"/>
                <w:szCs w:val="24"/>
              </w:rPr>
              <w:fldChar w:fldCharType="begin"/>
            </w:r>
            <w:r>
              <w:rPr>
                <w:b/>
                <w:bCs/>
              </w:rPr>
              <w:instrText>PAGE</w:instrText>
            </w:r>
            <w:r w:rsidR="003B15BC">
              <w:rPr>
                <w:b/>
                <w:bCs/>
                <w:sz w:val="24"/>
                <w:szCs w:val="24"/>
              </w:rPr>
              <w:fldChar w:fldCharType="separate"/>
            </w:r>
            <w:r w:rsidR="00E5730A">
              <w:rPr>
                <w:b/>
                <w:bCs/>
                <w:noProof/>
              </w:rPr>
              <w:t>1</w:t>
            </w:r>
            <w:r w:rsidR="003B15BC">
              <w:rPr>
                <w:b/>
                <w:bCs/>
                <w:sz w:val="24"/>
                <w:szCs w:val="24"/>
              </w:rPr>
              <w:fldChar w:fldCharType="end"/>
            </w:r>
            <w:r>
              <w:rPr>
                <w:lang w:val="es-ES"/>
              </w:rPr>
              <w:t xml:space="preserve"> de </w:t>
            </w:r>
            <w:r w:rsidR="003B15BC">
              <w:rPr>
                <w:b/>
                <w:bCs/>
                <w:sz w:val="24"/>
                <w:szCs w:val="24"/>
              </w:rPr>
              <w:fldChar w:fldCharType="begin"/>
            </w:r>
            <w:r>
              <w:rPr>
                <w:b/>
                <w:bCs/>
              </w:rPr>
              <w:instrText>NUMPAGES</w:instrText>
            </w:r>
            <w:r w:rsidR="003B15BC">
              <w:rPr>
                <w:b/>
                <w:bCs/>
                <w:sz w:val="24"/>
                <w:szCs w:val="24"/>
              </w:rPr>
              <w:fldChar w:fldCharType="separate"/>
            </w:r>
            <w:r w:rsidR="00E5730A">
              <w:rPr>
                <w:b/>
                <w:bCs/>
                <w:noProof/>
              </w:rPr>
              <w:t>11</w:t>
            </w:r>
            <w:r w:rsidR="003B15BC">
              <w:rPr>
                <w:b/>
                <w:bCs/>
                <w:sz w:val="24"/>
                <w:szCs w:val="24"/>
              </w:rPr>
              <w:fldChar w:fldCharType="end"/>
            </w:r>
          </w:p>
        </w:sdtContent>
      </w:sdt>
    </w:sdtContent>
  </w:sdt>
  <w:p w:rsidR="004C42BB" w:rsidRDefault="0088343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431" w:rsidRDefault="00883431" w:rsidP="00A66741">
      <w:pPr>
        <w:spacing w:after="0" w:line="240" w:lineRule="auto"/>
      </w:pPr>
      <w:r>
        <w:separator/>
      </w:r>
    </w:p>
  </w:footnote>
  <w:footnote w:type="continuationSeparator" w:id="1">
    <w:p w:rsidR="00883431" w:rsidRDefault="00883431" w:rsidP="00A66741">
      <w:pPr>
        <w:spacing w:after="0" w:line="240" w:lineRule="auto"/>
      </w:pPr>
      <w:r>
        <w:continuationSeparator/>
      </w:r>
    </w:p>
  </w:footnote>
  <w:footnote w:id="2">
    <w:p w:rsidR="00A66741" w:rsidRPr="005F782E" w:rsidRDefault="00A66741" w:rsidP="00A66741">
      <w:pPr>
        <w:jc w:val="both"/>
        <w:rPr>
          <w:b/>
          <w:i/>
          <w:sz w:val="16"/>
          <w:szCs w:val="16"/>
        </w:rPr>
      </w:pPr>
      <w:r w:rsidRPr="008C554A">
        <w:rPr>
          <w:rStyle w:val="Refdenotaalpie"/>
          <w:sz w:val="16"/>
          <w:szCs w:val="16"/>
        </w:rPr>
        <w:footnoteRef/>
      </w:r>
      <w:r w:rsidRPr="005F782E">
        <w:rPr>
          <w:i/>
          <w:sz w:val="16"/>
          <w:szCs w:val="16"/>
        </w:rPr>
        <w:t>“</w:t>
      </w:r>
      <w:r w:rsidRPr="005F782E">
        <w:rPr>
          <w:b/>
          <w:i/>
          <w:sz w:val="16"/>
          <w:szCs w:val="16"/>
        </w:rPr>
        <w:t>Artículo 230.- Principios de la potestad sancionadora administrativa</w:t>
      </w:r>
    </w:p>
    <w:p w:rsidR="00A66741" w:rsidRPr="005F782E" w:rsidRDefault="00A66741" w:rsidP="00A66741">
      <w:pPr>
        <w:jc w:val="both"/>
        <w:rPr>
          <w:i/>
          <w:sz w:val="16"/>
          <w:szCs w:val="16"/>
        </w:rPr>
      </w:pPr>
      <w:r w:rsidRPr="005F782E">
        <w:rPr>
          <w:i/>
          <w:sz w:val="16"/>
          <w:szCs w:val="16"/>
        </w:rPr>
        <w:t>La potestad sancionadora de todas las entidades está regida adicionalmente por los siguientes principios especiales:</w:t>
      </w:r>
    </w:p>
    <w:p w:rsidR="00A66741" w:rsidRPr="005F782E" w:rsidRDefault="00A66741" w:rsidP="00A66741">
      <w:pPr>
        <w:jc w:val="both"/>
        <w:rPr>
          <w:i/>
          <w:sz w:val="16"/>
          <w:szCs w:val="16"/>
        </w:rPr>
      </w:pPr>
      <w:r w:rsidRPr="005F782E">
        <w:rPr>
          <w:i/>
          <w:sz w:val="16"/>
          <w:szCs w:val="16"/>
        </w:rPr>
        <w:t xml:space="preserve">(…) </w:t>
      </w:r>
      <w:r w:rsidRPr="005F782E">
        <w:rPr>
          <w:b/>
          <w:i/>
          <w:sz w:val="16"/>
          <w:szCs w:val="16"/>
        </w:rPr>
        <w:t>10. Non bis in idem.-</w:t>
      </w:r>
      <w:r w:rsidRPr="005F782E">
        <w:rPr>
          <w:i/>
          <w:sz w:val="16"/>
          <w:szCs w:val="16"/>
        </w:rPr>
        <w:t xml:space="preserve"> No se podrán imponer sucesiva o simultáneamente una pena y una sanción administrativa por el mismo hecho en los casos en que se aprecie la identidad del sujeto, hecho y fundamento.</w:t>
      </w:r>
    </w:p>
    <w:p w:rsidR="00A66741" w:rsidRDefault="00A66741" w:rsidP="00A66741">
      <w:pPr>
        <w:pStyle w:val="Textonotapie"/>
        <w:jc w:val="both"/>
      </w:pPr>
      <w:r w:rsidRPr="005F782E">
        <w:rPr>
          <w:i/>
          <w:sz w:val="16"/>
          <w:szCs w:val="16"/>
        </w:rPr>
        <w:t>Dicha prohibición se extiende también a las sanciones administrativas, salvo la concurrencia del supuesto de continuación de infracciones a que se refiere el inciso 7.”</w:t>
      </w:r>
    </w:p>
  </w:footnote>
  <w:footnote w:id="3">
    <w:p w:rsidR="00A66741" w:rsidRPr="00D7033D" w:rsidRDefault="00A66741" w:rsidP="00A66741">
      <w:pPr>
        <w:pStyle w:val="Textonotapie"/>
        <w:jc w:val="both"/>
        <w:rPr>
          <w:rFonts w:ascii="Tahoma" w:hAnsi="Tahoma" w:cs="Tahoma"/>
          <w:b/>
          <w:sz w:val="18"/>
          <w:szCs w:val="18"/>
        </w:rPr>
      </w:pPr>
      <w:r w:rsidRPr="00606EA1">
        <w:rPr>
          <w:rStyle w:val="Refdenotaalpie"/>
          <w:rFonts w:ascii="Tahoma" w:hAnsi="Tahoma" w:cs="Tahoma"/>
          <w:sz w:val="16"/>
          <w:szCs w:val="16"/>
        </w:rPr>
        <w:footnoteRef/>
      </w:r>
      <w:r w:rsidRPr="00D7033D">
        <w:rPr>
          <w:rFonts w:ascii="Tahoma" w:hAnsi="Tahoma" w:cs="Tahoma"/>
          <w:b/>
          <w:sz w:val="18"/>
          <w:szCs w:val="18"/>
        </w:rPr>
        <w:t>Artículo 237.- Infracciones y sanciones administrativas.-</w:t>
      </w:r>
    </w:p>
    <w:p w:rsidR="00A66741" w:rsidRPr="00D7033D" w:rsidRDefault="00A66741" w:rsidP="00A66741">
      <w:pPr>
        <w:pStyle w:val="Textonotapie"/>
        <w:numPr>
          <w:ilvl w:val="0"/>
          <w:numId w:val="12"/>
        </w:numPr>
        <w:jc w:val="both"/>
        <w:rPr>
          <w:rFonts w:ascii="Tahoma" w:hAnsi="Tahoma" w:cs="Tahoma"/>
          <w:b/>
          <w:sz w:val="18"/>
          <w:szCs w:val="18"/>
        </w:rPr>
      </w:pPr>
      <w:r w:rsidRPr="00D7033D">
        <w:rPr>
          <w:rFonts w:ascii="Tahoma" w:hAnsi="Tahoma" w:cs="Tahoma"/>
          <w:b/>
          <w:sz w:val="18"/>
          <w:szCs w:val="18"/>
        </w:rPr>
        <w:t>Infracciones</w:t>
      </w:r>
    </w:p>
    <w:p w:rsidR="00A66741" w:rsidRPr="00D7033D" w:rsidRDefault="00A66741" w:rsidP="00A66741">
      <w:pPr>
        <w:pStyle w:val="Textonotapie"/>
        <w:ind w:left="720"/>
        <w:jc w:val="both"/>
        <w:rPr>
          <w:rFonts w:ascii="Tahoma" w:hAnsi="Tahoma" w:cs="Tahoma"/>
          <w:b/>
          <w:sz w:val="18"/>
          <w:szCs w:val="18"/>
        </w:rPr>
      </w:pPr>
      <w:r w:rsidRPr="00D7033D">
        <w:rPr>
          <w:rFonts w:ascii="Tahoma" w:hAnsi="Tahoma" w:cs="Tahoma"/>
          <w:sz w:val="18"/>
          <w:szCs w:val="18"/>
        </w:rPr>
        <w:t>Se impondrá sanción administrativa a los proveedores, participantes, postores y/o contratistas que:</w:t>
      </w:r>
    </w:p>
    <w:p w:rsidR="00A66741" w:rsidRPr="00D7033D" w:rsidRDefault="00A66741" w:rsidP="00A66741">
      <w:pPr>
        <w:pStyle w:val="Textonotapie"/>
        <w:jc w:val="both"/>
        <w:rPr>
          <w:rFonts w:ascii="Tahoma" w:hAnsi="Tahoma" w:cs="Tahoma"/>
          <w:sz w:val="18"/>
          <w:szCs w:val="18"/>
        </w:rPr>
      </w:pPr>
      <w:r w:rsidRPr="00D7033D">
        <w:rPr>
          <w:rFonts w:ascii="Tahoma" w:hAnsi="Tahoma" w:cs="Tahoma"/>
          <w:sz w:val="18"/>
          <w:szCs w:val="18"/>
        </w:rPr>
        <w:t>[…]</w:t>
      </w:r>
    </w:p>
    <w:p w:rsidR="00A66741" w:rsidRPr="00D7033D" w:rsidRDefault="00A66741" w:rsidP="00A66741">
      <w:pPr>
        <w:pStyle w:val="Textonotapie"/>
        <w:jc w:val="both"/>
        <w:rPr>
          <w:rFonts w:ascii="Tahoma" w:hAnsi="Tahoma" w:cs="Tahoma"/>
          <w:sz w:val="18"/>
          <w:szCs w:val="18"/>
        </w:rPr>
      </w:pPr>
      <w:r w:rsidRPr="00D7033D">
        <w:rPr>
          <w:rFonts w:ascii="Tahoma" w:hAnsi="Tahoma" w:cs="Tahoma"/>
          <w:sz w:val="18"/>
          <w:szCs w:val="18"/>
        </w:rPr>
        <w:t>i) Presenten documentos falsos o información inexacta a las Entidades, al Tribunal o al OSCE.</w:t>
      </w:r>
    </w:p>
  </w:footnote>
  <w:footnote w:id="4">
    <w:p w:rsidR="00A66741" w:rsidRPr="0010188D" w:rsidRDefault="00A66741" w:rsidP="00A66741">
      <w:pPr>
        <w:pStyle w:val="Textonotapie"/>
        <w:jc w:val="both"/>
        <w:rPr>
          <w:rFonts w:ascii="Tahoma" w:hAnsi="Tahoma" w:cs="Tahoma"/>
          <w:sz w:val="18"/>
          <w:szCs w:val="18"/>
        </w:rPr>
      </w:pPr>
      <w:r w:rsidRPr="00606EA1">
        <w:rPr>
          <w:rStyle w:val="Refdenotaalpie"/>
          <w:rFonts w:ascii="Tahoma" w:hAnsi="Tahoma" w:cs="Tahoma"/>
          <w:b/>
          <w:sz w:val="16"/>
          <w:szCs w:val="16"/>
        </w:rPr>
        <w:footnoteRef/>
      </w:r>
      <w:r w:rsidRPr="0010188D">
        <w:rPr>
          <w:rFonts w:ascii="Tahoma" w:hAnsi="Tahoma" w:cs="Tahoma"/>
          <w:b/>
          <w:sz w:val="18"/>
          <w:szCs w:val="18"/>
        </w:rPr>
        <w:t>El Principio de Presunción de Veracidad</w:t>
      </w:r>
      <w:r w:rsidRPr="0010188D">
        <w:rPr>
          <w:rFonts w:ascii="Tahoma" w:hAnsi="Tahoma" w:cs="Tahoma"/>
          <w:sz w:val="18"/>
          <w:szCs w:val="18"/>
        </w:rPr>
        <w:t xml:space="preserve"> consiste en </w:t>
      </w:r>
      <w:r w:rsidRPr="0010188D">
        <w:rPr>
          <w:rFonts w:ascii="Tahoma" w:hAnsi="Tahoma" w:cs="Tahoma"/>
          <w:i/>
          <w:sz w:val="18"/>
          <w:szCs w:val="18"/>
        </w:rPr>
        <w:t>“el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w:t>
      </w:r>
      <w:r w:rsidRPr="0010188D">
        <w:rPr>
          <w:rFonts w:ascii="Tahoma" w:hAnsi="Tahoma" w:cs="Tahoma"/>
          <w:sz w:val="18"/>
          <w:szCs w:val="18"/>
        </w:rPr>
        <w:t xml:space="preserve"> MORÓN URBINA, Juan Carlos. </w:t>
      </w:r>
      <w:r w:rsidRPr="0010188D">
        <w:rPr>
          <w:rFonts w:ascii="Tahoma" w:hAnsi="Tahoma" w:cs="Tahoma"/>
          <w:b/>
          <w:sz w:val="18"/>
          <w:szCs w:val="18"/>
        </w:rPr>
        <w:t>Comentarios a la Ley del Procedimiento Administrativo General</w:t>
      </w:r>
      <w:r w:rsidRPr="0010188D">
        <w:rPr>
          <w:rFonts w:ascii="Tahoma" w:hAnsi="Tahoma" w:cs="Tahoma"/>
          <w:sz w:val="18"/>
          <w:szCs w:val="18"/>
        </w:rPr>
        <w:t>. Cuarta Edición. Lima: Gaceta Jurídica, 2005; pp. 74 -75.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30A" w:rsidRDefault="00E5730A" w:rsidP="00E5730A">
    <w:pPr>
      <w:pStyle w:val="Encabezado"/>
      <w:rPr>
        <w:noProof/>
      </w:rPr>
    </w:pPr>
    <w:r>
      <w:rPr>
        <w:noProof/>
        <w:lang w:val="es-ES"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E5730A" w:rsidRDefault="00E5730A" w:rsidP="00E5730A">
    <w:pPr>
      <w:pStyle w:val="Encabezado"/>
      <w:rPr>
        <w:noProof/>
      </w:rPr>
    </w:pPr>
  </w:p>
  <w:p w:rsidR="00E5730A" w:rsidRDefault="00E5730A" w:rsidP="00E5730A">
    <w:pPr>
      <w:pStyle w:val="Encabezado"/>
      <w:jc w:val="center"/>
      <w:rPr>
        <w:rFonts w:ascii="Monotype Corsiva" w:hAnsi="Monotype Corsiva"/>
        <w:b/>
        <w:sz w:val="44"/>
        <w:szCs w:val="44"/>
      </w:rPr>
    </w:pPr>
  </w:p>
  <w:p w:rsidR="00E5730A" w:rsidRDefault="00E5730A" w:rsidP="00E5730A">
    <w:pPr>
      <w:pStyle w:val="Encabezado"/>
      <w:jc w:val="center"/>
      <w:rPr>
        <w:rFonts w:ascii="Calibri" w:hAnsi="Calibri"/>
      </w:rPr>
    </w:pPr>
    <w:r>
      <w:rPr>
        <w:rFonts w:ascii="Monotype Corsiva" w:hAnsi="Monotype Corsiva"/>
        <w:b/>
        <w:sz w:val="44"/>
        <w:szCs w:val="44"/>
      </w:rPr>
      <w:t xml:space="preserve">Resolución Nº   </w:t>
    </w:r>
    <w:r>
      <w:rPr>
        <w:rFonts w:ascii="Tahoma" w:hAnsi="Tahoma" w:cs="Tahoma"/>
        <w:b/>
        <w:sz w:val="44"/>
        <w:szCs w:val="44"/>
      </w:rPr>
      <w:t>1539-2011-TC-S1</w:t>
    </w:r>
  </w:p>
  <w:p w:rsidR="00E5730A" w:rsidRDefault="00E5730A">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E4C03B3E"/>
    <w:lvl w:ilvl="0" w:tplc="3A123698">
      <w:start w:val="1"/>
      <w:numFmt w:val="decimal"/>
      <w:lvlText w:val="%1."/>
      <w:lvlJc w:val="left"/>
      <w:pPr>
        <w:tabs>
          <w:tab w:val="num" w:pos="786"/>
        </w:tabs>
        <w:ind w:left="786" w:hanging="360"/>
      </w:pPr>
      <w:rPr>
        <w:b/>
        <w:i w:val="0"/>
        <w:sz w:val="20"/>
        <w:szCs w:val="20"/>
      </w:rPr>
    </w:lvl>
    <w:lvl w:ilvl="1" w:tplc="33EE8310">
      <w:start w:val="3"/>
      <w:numFmt w:val="bullet"/>
      <w:lvlText w:val=""/>
      <w:lvlJc w:val="left"/>
      <w:pPr>
        <w:tabs>
          <w:tab w:val="num" w:pos="1930"/>
        </w:tabs>
        <w:ind w:left="1930" w:hanging="360"/>
      </w:pPr>
      <w:rPr>
        <w:rFonts w:ascii="Symbol" w:eastAsia="Times New Roman" w:hAnsi="Symbol" w:cs="Tahoma" w:hint="default"/>
      </w:rPr>
    </w:lvl>
    <w:lvl w:ilvl="2" w:tplc="0C0A001B">
      <w:start w:val="1"/>
      <w:numFmt w:val="decimal"/>
      <w:lvlText w:val="%3."/>
      <w:lvlJc w:val="left"/>
      <w:pPr>
        <w:tabs>
          <w:tab w:val="num" w:pos="2302"/>
        </w:tabs>
        <w:ind w:left="2302" w:hanging="360"/>
      </w:pPr>
    </w:lvl>
    <w:lvl w:ilvl="3" w:tplc="0C0A000F">
      <w:start w:val="1"/>
      <w:numFmt w:val="decimal"/>
      <w:lvlText w:val="%4."/>
      <w:lvlJc w:val="left"/>
      <w:pPr>
        <w:tabs>
          <w:tab w:val="num" w:pos="3022"/>
        </w:tabs>
        <w:ind w:left="3022" w:hanging="360"/>
      </w:pPr>
    </w:lvl>
    <w:lvl w:ilvl="4" w:tplc="0C0A0019">
      <w:start w:val="1"/>
      <w:numFmt w:val="decimal"/>
      <w:lvlText w:val="%5."/>
      <w:lvlJc w:val="left"/>
      <w:pPr>
        <w:tabs>
          <w:tab w:val="num" w:pos="3742"/>
        </w:tabs>
        <w:ind w:left="3742" w:hanging="360"/>
      </w:pPr>
    </w:lvl>
    <w:lvl w:ilvl="5" w:tplc="0C0A001B">
      <w:start w:val="1"/>
      <w:numFmt w:val="decimal"/>
      <w:lvlText w:val="%6."/>
      <w:lvlJc w:val="left"/>
      <w:pPr>
        <w:tabs>
          <w:tab w:val="num" w:pos="4462"/>
        </w:tabs>
        <w:ind w:left="4462" w:hanging="360"/>
      </w:pPr>
    </w:lvl>
    <w:lvl w:ilvl="6" w:tplc="0C0A000F">
      <w:start w:val="1"/>
      <w:numFmt w:val="decimal"/>
      <w:lvlText w:val="%7."/>
      <w:lvlJc w:val="left"/>
      <w:pPr>
        <w:tabs>
          <w:tab w:val="num" w:pos="5182"/>
        </w:tabs>
        <w:ind w:left="5182" w:hanging="360"/>
      </w:pPr>
    </w:lvl>
    <w:lvl w:ilvl="7" w:tplc="0C0A0019">
      <w:start w:val="1"/>
      <w:numFmt w:val="decimal"/>
      <w:lvlText w:val="%8."/>
      <w:lvlJc w:val="left"/>
      <w:pPr>
        <w:tabs>
          <w:tab w:val="num" w:pos="5902"/>
        </w:tabs>
        <w:ind w:left="5902" w:hanging="360"/>
      </w:pPr>
    </w:lvl>
    <w:lvl w:ilvl="8" w:tplc="0C0A001B">
      <w:start w:val="1"/>
      <w:numFmt w:val="decimal"/>
      <w:lvlText w:val="%9."/>
      <w:lvlJc w:val="left"/>
      <w:pPr>
        <w:tabs>
          <w:tab w:val="num" w:pos="6622"/>
        </w:tabs>
        <w:ind w:left="6622" w:hanging="360"/>
      </w:pPr>
    </w:lvl>
  </w:abstractNum>
  <w:abstractNum w:abstractNumId="1">
    <w:nsid w:val="072F5499"/>
    <w:multiLevelType w:val="hybridMultilevel"/>
    <w:tmpl w:val="C8203168"/>
    <w:lvl w:ilvl="0" w:tplc="C5D29506">
      <w:start w:val="1"/>
      <w:numFmt w:val="decimal"/>
      <w:lvlText w:val="%1."/>
      <w:lvlJc w:val="left"/>
      <w:pPr>
        <w:ind w:left="720" w:hanging="360"/>
      </w:pPr>
      <w:rPr>
        <w:rFonts w:hint="default"/>
        <w:b/>
        <w:i w:val="0"/>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D89661A"/>
    <w:multiLevelType w:val="hybridMultilevel"/>
    <w:tmpl w:val="2BE08778"/>
    <w:lvl w:ilvl="0" w:tplc="9C12E830">
      <w:start w:val="1"/>
      <w:numFmt w:val="decimal"/>
      <w:lvlText w:val="%1."/>
      <w:lvlJc w:val="left"/>
      <w:pPr>
        <w:tabs>
          <w:tab w:val="num" w:pos="454"/>
        </w:tabs>
        <w:ind w:left="454" w:hanging="454"/>
      </w:pPr>
      <w:rPr>
        <w:rFonts w:ascii="Tahoma" w:hAnsi="Tahoma" w:cs="Tahoma" w:hint="default"/>
        <w:b/>
        <w:i w:val="0"/>
        <w:shadow/>
        <w:emboss w:val="0"/>
        <w:imprint w:val="0"/>
        <w:color w:val="auto"/>
        <w:sz w:val="20"/>
        <w:szCs w:val="20"/>
        <w:u w:color="FFFFFF"/>
        <w:effect w:val="none"/>
      </w:rPr>
    </w:lvl>
    <w:lvl w:ilvl="1" w:tplc="5BA68C46">
      <w:start w:val="1"/>
      <w:numFmt w:val="lowerRoman"/>
      <w:lvlText w:val="(%2)"/>
      <w:lvlJc w:val="left"/>
      <w:pPr>
        <w:tabs>
          <w:tab w:val="num" w:pos="1800"/>
        </w:tabs>
        <w:ind w:left="1800" w:hanging="720"/>
      </w:pPr>
      <w:rPr>
        <w:rFonts w:hint="default"/>
        <w:b/>
      </w:rPr>
    </w:lvl>
    <w:lvl w:ilvl="2" w:tplc="91224666">
      <w:start w:val="1"/>
      <w:numFmt w:val="lowerRoman"/>
      <w:lvlText w:val="%3."/>
      <w:lvlJc w:val="left"/>
      <w:pPr>
        <w:tabs>
          <w:tab w:val="num" w:pos="1800"/>
        </w:tabs>
        <w:ind w:left="1800" w:hanging="720"/>
      </w:pPr>
      <w:rPr>
        <w:rFonts w:hint="default"/>
        <w:b/>
      </w:rPr>
    </w:lvl>
    <w:lvl w:ilvl="3" w:tplc="E034C060">
      <w:start w:val="1"/>
      <w:numFmt w:val="lowerLetter"/>
      <w:lvlText w:val="%4."/>
      <w:lvlJc w:val="left"/>
      <w:pPr>
        <w:tabs>
          <w:tab w:val="num" w:pos="2880"/>
        </w:tabs>
        <w:ind w:left="2880" w:hanging="360"/>
      </w:pPr>
      <w:rPr>
        <w:rFonts w:hint="default"/>
        <w:b/>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20145762"/>
    <w:multiLevelType w:val="hybridMultilevel"/>
    <w:tmpl w:val="ECF8989C"/>
    <w:lvl w:ilvl="0" w:tplc="AD261918">
      <w:start w:val="1"/>
      <w:numFmt w:val="lowerLetter"/>
      <w:lvlText w:val="%1)"/>
      <w:lvlJc w:val="lef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4">
    <w:nsid w:val="253A5EE5"/>
    <w:multiLevelType w:val="hybridMultilevel"/>
    <w:tmpl w:val="30B84CEC"/>
    <w:lvl w:ilvl="0" w:tplc="7450A038">
      <w:start w:val="1"/>
      <w:numFmt w:val="lowerRoman"/>
      <w:lvlText w:val="(%1)"/>
      <w:lvlJc w:val="left"/>
      <w:pPr>
        <w:ind w:left="1260" w:hanging="360"/>
      </w:pPr>
      <w:rPr>
        <w:rFonts w:hint="default"/>
        <w:b/>
        <w:shadow/>
        <w:spacing w:val="4"/>
        <w:kern w:val="16"/>
        <w:position w:val="0"/>
        <w:sz w:val="20"/>
        <w:szCs w:val="20"/>
      </w:rPr>
    </w:lvl>
    <w:lvl w:ilvl="1" w:tplc="280A0019" w:tentative="1">
      <w:start w:val="1"/>
      <w:numFmt w:val="lowerLetter"/>
      <w:lvlText w:val="%2."/>
      <w:lvlJc w:val="left"/>
      <w:pPr>
        <w:ind w:left="1980" w:hanging="360"/>
      </w:pPr>
    </w:lvl>
    <w:lvl w:ilvl="2" w:tplc="280A001B" w:tentative="1">
      <w:start w:val="1"/>
      <w:numFmt w:val="lowerRoman"/>
      <w:lvlText w:val="%3."/>
      <w:lvlJc w:val="right"/>
      <w:pPr>
        <w:ind w:left="2700" w:hanging="180"/>
      </w:pPr>
    </w:lvl>
    <w:lvl w:ilvl="3" w:tplc="280A000F" w:tentative="1">
      <w:start w:val="1"/>
      <w:numFmt w:val="decimal"/>
      <w:lvlText w:val="%4."/>
      <w:lvlJc w:val="left"/>
      <w:pPr>
        <w:ind w:left="3420" w:hanging="360"/>
      </w:pPr>
    </w:lvl>
    <w:lvl w:ilvl="4" w:tplc="280A0019" w:tentative="1">
      <w:start w:val="1"/>
      <w:numFmt w:val="lowerLetter"/>
      <w:lvlText w:val="%5."/>
      <w:lvlJc w:val="left"/>
      <w:pPr>
        <w:ind w:left="4140" w:hanging="360"/>
      </w:pPr>
    </w:lvl>
    <w:lvl w:ilvl="5" w:tplc="280A001B" w:tentative="1">
      <w:start w:val="1"/>
      <w:numFmt w:val="lowerRoman"/>
      <w:lvlText w:val="%6."/>
      <w:lvlJc w:val="right"/>
      <w:pPr>
        <w:ind w:left="4860" w:hanging="180"/>
      </w:pPr>
    </w:lvl>
    <w:lvl w:ilvl="6" w:tplc="280A000F" w:tentative="1">
      <w:start w:val="1"/>
      <w:numFmt w:val="decimal"/>
      <w:lvlText w:val="%7."/>
      <w:lvlJc w:val="left"/>
      <w:pPr>
        <w:ind w:left="5580" w:hanging="360"/>
      </w:pPr>
    </w:lvl>
    <w:lvl w:ilvl="7" w:tplc="280A0019" w:tentative="1">
      <w:start w:val="1"/>
      <w:numFmt w:val="lowerLetter"/>
      <w:lvlText w:val="%8."/>
      <w:lvlJc w:val="left"/>
      <w:pPr>
        <w:ind w:left="6300" w:hanging="360"/>
      </w:pPr>
    </w:lvl>
    <w:lvl w:ilvl="8" w:tplc="280A001B" w:tentative="1">
      <w:start w:val="1"/>
      <w:numFmt w:val="lowerRoman"/>
      <w:lvlText w:val="%9."/>
      <w:lvlJc w:val="right"/>
      <w:pPr>
        <w:ind w:left="7020" w:hanging="180"/>
      </w:pPr>
    </w:lvl>
  </w:abstractNum>
  <w:abstractNum w:abstractNumId="5">
    <w:nsid w:val="279956C9"/>
    <w:multiLevelType w:val="hybridMultilevel"/>
    <w:tmpl w:val="4E24211A"/>
    <w:lvl w:ilvl="0" w:tplc="ABBE3E44">
      <w:start w:val="1"/>
      <w:numFmt w:val="decimal"/>
      <w:lvlText w:val="%1."/>
      <w:lvlJc w:val="left"/>
      <w:pPr>
        <w:tabs>
          <w:tab w:val="num" w:pos="3040"/>
        </w:tabs>
        <w:ind w:left="3040" w:hanging="340"/>
      </w:pPr>
      <w:rPr>
        <w:rFonts w:cs="Times New Roman" w:hint="default"/>
        <w:b/>
        <w:shadow/>
        <w:spacing w:val="4"/>
        <w:kern w:val="16"/>
        <w:position w:val="0"/>
        <w:sz w:val="24"/>
        <w:szCs w:val="24"/>
      </w:rPr>
    </w:lvl>
    <w:lvl w:ilvl="1" w:tplc="6ED8DA72">
      <w:start w:val="1"/>
      <w:numFmt w:val="decimal"/>
      <w:lvlText w:val="%2."/>
      <w:lvlJc w:val="left"/>
      <w:pPr>
        <w:tabs>
          <w:tab w:val="num" w:pos="1420"/>
        </w:tabs>
        <w:ind w:left="1420" w:hanging="340"/>
      </w:pPr>
      <w:rPr>
        <w:rFonts w:hint="default"/>
        <w:b w:val="0"/>
        <w:shadow/>
        <w:spacing w:val="4"/>
        <w:kern w:val="16"/>
        <w:position w:val="0"/>
        <w:sz w:val="20"/>
        <w:szCs w:val="20"/>
      </w:rPr>
    </w:lvl>
    <w:lvl w:ilvl="2" w:tplc="B7920A4C">
      <w:start w:val="1"/>
      <w:numFmt w:val="lowerRoman"/>
      <w:lvlText w:val="(%3)"/>
      <w:lvlJc w:val="left"/>
      <w:pPr>
        <w:tabs>
          <w:tab w:val="num" w:pos="2718"/>
        </w:tabs>
        <w:ind w:left="2718" w:hanging="738"/>
      </w:pPr>
      <w:rPr>
        <w:rFonts w:hint="default"/>
        <w:b/>
        <w:shadow/>
        <w:spacing w:val="4"/>
        <w:kern w:val="16"/>
        <w:position w:val="0"/>
        <w:sz w:val="20"/>
        <w:szCs w:val="20"/>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2E192307"/>
    <w:multiLevelType w:val="hybridMultilevel"/>
    <w:tmpl w:val="18DE498A"/>
    <w:lvl w:ilvl="0" w:tplc="986AC94A">
      <w:start w:val="1"/>
      <w:numFmt w:val="lowerRoman"/>
      <w:lvlText w:val="%1."/>
      <w:lvlJc w:val="right"/>
      <w:pPr>
        <w:ind w:left="1174" w:hanging="360"/>
      </w:pPr>
      <w:rPr>
        <w:b/>
      </w:rPr>
    </w:lvl>
    <w:lvl w:ilvl="1" w:tplc="280A0019" w:tentative="1">
      <w:start w:val="1"/>
      <w:numFmt w:val="lowerLetter"/>
      <w:lvlText w:val="%2."/>
      <w:lvlJc w:val="left"/>
      <w:pPr>
        <w:ind w:left="1894" w:hanging="360"/>
      </w:pPr>
    </w:lvl>
    <w:lvl w:ilvl="2" w:tplc="280A001B" w:tentative="1">
      <w:start w:val="1"/>
      <w:numFmt w:val="lowerRoman"/>
      <w:lvlText w:val="%3."/>
      <w:lvlJc w:val="right"/>
      <w:pPr>
        <w:ind w:left="2614" w:hanging="180"/>
      </w:pPr>
    </w:lvl>
    <w:lvl w:ilvl="3" w:tplc="280A000F" w:tentative="1">
      <w:start w:val="1"/>
      <w:numFmt w:val="decimal"/>
      <w:lvlText w:val="%4."/>
      <w:lvlJc w:val="left"/>
      <w:pPr>
        <w:ind w:left="3334" w:hanging="360"/>
      </w:pPr>
    </w:lvl>
    <w:lvl w:ilvl="4" w:tplc="280A0019" w:tentative="1">
      <w:start w:val="1"/>
      <w:numFmt w:val="lowerLetter"/>
      <w:lvlText w:val="%5."/>
      <w:lvlJc w:val="left"/>
      <w:pPr>
        <w:ind w:left="4054" w:hanging="360"/>
      </w:pPr>
    </w:lvl>
    <w:lvl w:ilvl="5" w:tplc="280A001B" w:tentative="1">
      <w:start w:val="1"/>
      <w:numFmt w:val="lowerRoman"/>
      <w:lvlText w:val="%6."/>
      <w:lvlJc w:val="right"/>
      <w:pPr>
        <w:ind w:left="4774" w:hanging="180"/>
      </w:pPr>
    </w:lvl>
    <w:lvl w:ilvl="6" w:tplc="280A000F" w:tentative="1">
      <w:start w:val="1"/>
      <w:numFmt w:val="decimal"/>
      <w:lvlText w:val="%7."/>
      <w:lvlJc w:val="left"/>
      <w:pPr>
        <w:ind w:left="5494" w:hanging="360"/>
      </w:pPr>
    </w:lvl>
    <w:lvl w:ilvl="7" w:tplc="280A0019" w:tentative="1">
      <w:start w:val="1"/>
      <w:numFmt w:val="lowerLetter"/>
      <w:lvlText w:val="%8."/>
      <w:lvlJc w:val="left"/>
      <w:pPr>
        <w:ind w:left="6214" w:hanging="360"/>
      </w:pPr>
    </w:lvl>
    <w:lvl w:ilvl="8" w:tplc="280A001B" w:tentative="1">
      <w:start w:val="1"/>
      <w:numFmt w:val="lowerRoman"/>
      <w:lvlText w:val="%9."/>
      <w:lvlJc w:val="right"/>
      <w:pPr>
        <w:ind w:left="6934" w:hanging="180"/>
      </w:pPr>
    </w:lvl>
  </w:abstractNum>
  <w:abstractNum w:abstractNumId="7">
    <w:nsid w:val="31751129"/>
    <w:multiLevelType w:val="hybridMultilevel"/>
    <w:tmpl w:val="DCB24160"/>
    <w:lvl w:ilvl="0" w:tplc="8918EB6E">
      <w:start w:val="10"/>
      <w:numFmt w:val="decimal"/>
      <w:lvlText w:val="%1."/>
      <w:lvlJc w:val="left"/>
      <w:pPr>
        <w:tabs>
          <w:tab w:val="num" w:pos="1240"/>
        </w:tabs>
        <w:ind w:left="1240" w:hanging="340"/>
      </w:pPr>
      <w:rPr>
        <w:rFonts w:cs="Times New Roman" w:hint="default"/>
        <w:b/>
        <w:shadow/>
        <w:spacing w:val="4"/>
        <w:kern w:val="16"/>
        <w:position w:val="0"/>
        <w:sz w:val="20"/>
        <w:szCs w:val="20"/>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nsid w:val="490628FE"/>
    <w:multiLevelType w:val="hybridMultilevel"/>
    <w:tmpl w:val="6C740318"/>
    <w:lvl w:ilvl="0" w:tplc="0A74569C">
      <w:start w:val="1"/>
      <w:numFmt w:val="decimal"/>
      <w:lvlText w:val="%1."/>
      <w:lvlJc w:val="left"/>
      <w:pPr>
        <w:tabs>
          <w:tab w:val="num" w:pos="720"/>
        </w:tabs>
        <w:ind w:left="720" w:hanging="360"/>
      </w:pPr>
      <w:rPr>
        <w:rFonts w:cs="Times New Roman"/>
        <w:b/>
        <w:shadow/>
        <w:sz w:val="20"/>
        <w:szCs w:val="20"/>
      </w:rPr>
    </w:lvl>
    <w:lvl w:ilvl="1" w:tplc="0C0A0019">
      <w:start w:val="1"/>
      <w:numFmt w:val="lowerLetter"/>
      <w:lvlText w:val="%2."/>
      <w:lvlJc w:val="left"/>
      <w:pPr>
        <w:tabs>
          <w:tab w:val="num" w:pos="1800"/>
        </w:tabs>
        <w:ind w:left="1800" w:hanging="360"/>
      </w:pPr>
      <w:rPr>
        <w:rFonts w:cs="Times New Roman"/>
      </w:rPr>
    </w:lvl>
    <w:lvl w:ilvl="2" w:tplc="0C0A001B">
      <w:start w:val="1"/>
      <w:numFmt w:val="lowerRoman"/>
      <w:lvlText w:val="%3."/>
      <w:lvlJc w:val="right"/>
      <w:pPr>
        <w:tabs>
          <w:tab w:val="num" w:pos="2520"/>
        </w:tabs>
        <w:ind w:left="2520" w:hanging="180"/>
      </w:pPr>
      <w:rPr>
        <w:rFonts w:cs="Times New Roman"/>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start w:val="1"/>
      <w:numFmt w:val="decimal"/>
      <w:lvlText w:val="%7."/>
      <w:lvlJc w:val="left"/>
      <w:pPr>
        <w:tabs>
          <w:tab w:val="num" w:pos="5400"/>
        </w:tabs>
        <w:ind w:left="5400" w:hanging="360"/>
      </w:pPr>
      <w:rPr>
        <w:rFonts w:cs="Times New Roman"/>
      </w:rPr>
    </w:lvl>
    <w:lvl w:ilvl="7" w:tplc="0C0A0019">
      <w:start w:val="1"/>
      <w:numFmt w:val="lowerLetter"/>
      <w:lvlText w:val="%8."/>
      <w:lvlJc w:val="left"/>
      <w:pPr>
        <w:tabs>
          <w:tab w:val="num" w:pos="6120"/>
        </w:tabs>
        <w:ind w:left="6120" w:hanging="360"/>
      </w:pPr>
      <w:rPr>
        <w:rFonts w:cs="Times New Roman"/>
      </w:rPr>
    </w:lvl>
    <w:lvl w:ilvl="8" w:tplc="0C0A001B">
      <w:start w:val="1"/>
      <w:numFmt w:val="lowerRoman"/>
      <w:lvlText w:val="%9."/>
      <w:lvlJc w:val="right"/>
      <w:pPr>
        <w:tabs>
          <w:tab w:val="num" w:pos="6840"/>
        </w:tabs>
        <w:ind w:left="6840" w:hanging="180"/>
      </w:pPr>
      <w:rPr>
        <w:rFonts w:cs="Times New Roman"/>
      </w:rPr>
    </w:lvl>
  </w:abstractNum>
  <w:abstractNum w:abstractNumId="9">
    <w:nsid w:val="4E637039"/>
    <w:multiLevelType w:val="hybridMultilevel"/>
    <w:tmpl w:val="6E787B2E"/>
    <w:lvl w:ilvl="0" w:tplc="1518877A">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F97194A"/>
    <w:multiLevelType w:val="hybridMultilevel"/>
    <w:tmpl w:val="F528A8EA"/>
    <w:lvl w:ilvl="0" w:tplc="C608AF4E">
      <w:start w:val="1"/>
      <w:numFmt w:val="lowerRoman"/>
      <w:lvlText w:val="(%1)"/>
      <w:lvlJc w:val="left"/>
      <w:pPr>
        <w:ind w:left="1174" w:hanging="360"/>
      </w:pPr>
      <w:rPr>
        <w:rFonts w:hint="default"/>
        <w:b/>
        <w:sz w:val="20"/>
        <w:szCs w:val="20"/>
      </w:rPr>
    </w:lvl>
    <w:lvl w:ilvl="1" w:tplc="280A0019" w:tentative="1">
      <w:start w:val="1"/>
      <w:numFmt w:val="lowerLetter"/>
      <w:lvlText w:val="%2."/>
      <w:lvlJc w:val="left"/>
      <w:pPr>
        <w:ind w:left="1894" w:hanging="360"/>
      </w:pPr>
    </w:lvl>
    <w:lvl w:ilvl="2" w:tplc="280A001B" w:tentative="1">
      <w:start w:val="1"/>
      <w:numFmt w:val="lowerRoman"/>
      <w:lvlText w:val="%3."/>
      <w:lvlJc w:val="right"/>
      <w:pPr>
        <w:ind w:left="2614" w:hanging="180"/>
      </w:pPr>
    </w:lvl>
    <w:lvl w:ilvl="3" w:tplc="280A000F" w:tentative="1">
      <w:start w:val="1"/>
      <w:numFmt w:val="decimal"/>
      <w:lvlText w:val="%4."/>
      <w:lvlJc w:val="left"/>
      <w:pPr>
        <w:ind w:left="3334" w:hanging="360"/>
      </w:pPr>
    </w:lvl>
    <w:lvl w:ilvl="4" w:tplc="280A0019" w:tentative="1">
      <w:start w:val="1"/>
      <w:numFmt w:val="lowerLetter"/>
      <w:lvlText w:val="%5."/>
      <w:lvlJc w:val="left"/>
      <w:pPr>
        <w:ind w:left="4054" w:hanging="360"/>
      </w:pPr>
    </w:lvl>
    <w:lvl w:ilvl="5" w:tplc="280A001B" w:tentative="1">
      <w:start w:val="1"/>
      <w:numFmt w:val="lowerRoman"/>
      <w:lvlText w:val="%6."/>
      <w:lvlJc w:val="right"/>
      <w:pPr>
        <w:ind w:left="4774" w:hanging="180"/>
      </w:pPr>
    </w:lvl>
    <w:lvl w:ilvl="6" w:tplc="280A000F" w:tentative="1">
      <w:start w:val="1"/>
      <w:numFmt w:val="decimal"/>
      <w:lvlText w:val="%7."/>
      <w:lvlJc w:val="left"/>
      <w:pPr>
        <w:ind w:left="5494" w:hanging="360"/>
      </w:pPr>
    </w:lvl>
    <w:lvl w:ilvl="7" w:tplc="280A0019" w:tentative="1">
      <w:start w:val="1"/>
      <w:numFmt w:val="lowerLetter"/>
      <w:lvlText w:val="%8."/>
      <w:lvlJc w:val="left"/>
      <w:pPr>
        <w:ind w:left="6214" w:hanging="360"/>
      </w:pPr>
    </w:lvl>
    <w:lvl w:ilvl="8" w:tplc="280A001B" w:tentative="1">
      <w:start w:val="1"/>
      <w:numFmt w:val="lowerRoman"/>
      <w:lvlText w:val="%9."/>
      <w:lvlJc w:val="right"/>
      <w:pPr>
        <w:ind w:left="6934" w:hanging="180"/>
      </w:pPr>
    </w:lvl>
  </w:abstractNum>
  <w:abstractNum w:abstractNumId="11">
    <w:nsid w:val="575B081F"/>
    <w:multiLevelType w:val="hybridMultilevel"/>
    <w:tmpl w:val="AF42F2D8"/>
    <w:lvl w:ilvl="0" w:tplc="FF748BCC">
      <w:start w:val="1"/>
      <w:numFmt w:val="lowerLetter"/>
      <w:lvlText w:val="%1)"/>
      <w:lvlJc w:val="left"/>
      <w:pPr>
        <w:ind w:left="814" w:hanging="360"/>
      </w:pPr>
      <w:rPr>
        <w:rFonts w:ascii="Bookman Old Style" w:eastAsia="Calibri" w:hAnsi="Bookman Old Style" w:cs="Tahoma" w:hint="default"/>
        <w:sz w:val="22"/>
        <w:u w:val="none"/>
      </w:rPr>
    </w:lvl>
    <w:lvl w:ilvl="1" w:tplc="280A0019" w:tentative="1">
      <w:start w:val="1"/>
      <w:numFmt w:val="lowerLetter"/>
      <w:lvlText w:val="%2."/>
      <w:lvlJc w:val="left"/>
      <w:pPr>
        <w:ind w:left="1534" w:hanging="360"/>
      </w:pPr>
    </w:lvl>
    <w:lvl w:ilvl="2" w:tplc="280A001B" w:tentative="1">
      <w:start w:val="1"/>
      <w:numFmt w:val="lowerRoman"/>
      <w:lvlText w:val="%3."/>
      <w:lvlJc w:val="right"/>
      <w:pPr>
        <w:ind w:left="2254" w:hanging="180"/>
      </w:pPr>
    </w:lvl>
    <w:lvl w:ilvl="3" w:tplc="280A000F" w:tentative="1">
      <w:start w:val="1"/>
      <w:numFmt w:val="decimal"/>
      <w:lvlText w:val="%4."/>
      <w:lvlJc w:val="left"/>
      <w:pPr>
        <w:ind w:left="2974" w:hanging="360"/>
      </w:pPr>
    </w:lvl>
    <w:lvl w:ilvl="4" w:tplc="280A0019" w:tentative="1">
      <w:start w:val="1"/>
      <w:numFmt w:val="lowerLetter"/>
      <w:lvlText w:val="%5."/>
      <w:lvlJc w:val="left"/>
      <w:pPr>
        <w:ind w:left="3694" w:hanging="360"/>
      </w:pPr>
    </w:lvl>
    <w:lvl w:ilvl="5" w:tplc="280A001B" w:tentative="1">
      <w:start w:val="1"/>
      <w:numFmt w:val="lowerRoman"/>
      <w:lvlText w:val="%6."/>
      <w:lvlJc w:val="right"/>
      <w:pPr>
        <w:ind w:left="4414" w:hanging="180"/>
      </w:pPr>
    </w:lvl>
    <w:lvl w:ilvl="6" w:tplc="280A000F" w:tentative="1">
      <w:start w:val="1"/>
      <w:numFmt w:val="decimal"/>
      <w:lvlText w:val="%7."/>
      <w:lvlJc w:val="left"/>
      <w:pPr>
        <w:ind w:left="5134" w:hanging="360"/>
      </w:pPr>
    </w:lvl>
    <w:lvl w:ilvl="7" w:tplc="280A0019" w:tentative="1">
      <w:start w:val="1"/>
      <w:numFmt w:val="lowerLetter"/>
      <w:lvlText w:val="%8."/>
      <w:lvlJc w:val="left"/>
      <w:pPr>
        <w:ind w:left="5854" w:hanging="360"/>
      </w:pPr>
    </w:lvl>
    <w:lvl w:ilvl="8" w:tplc="280A001B" w:tentative="1">
      <w:start w:val="1"/>
      <w:numFmt w:val="lowerRoman"/>
      <w:lvlText w:val="%9."/>
      <w:lvlJc w:val="right"/>
      <w:pPr>
        <w:ind w:left="6574" w:hanging="180"/>
      </w:pPr>
    </w:lvl>
  </w:abstractNum>
  <w:num w:numId="1">
    <w:abstractNumId w:val="5"/>
  </w:num>
  <w:num w:numId="2">
    <w:abstractNumId w:val="4"/>
  </w:num>
  <w:num w:numId="3">
    <w:abstractNumId w:val="7"/>
  </w:num>
  <w:num w:numId="4">
    <w:abstractNumId w:val="0"/>
  </w:num>
  <w:num w:numId="5">
    <w:abstractNumId w:val="3"/>
  </w:num>
  <w:num w:numId="6">
    <w:abstractNumId w:val="8"/>
  </w:num>
  <w:num w:numId="7">
    <w:abstractNumId w:val="2"/>
  </w:num>
  <w:num w:numId="8">
    <w:abstractNumId w:val="6"/>
  </w:num>
  <w:num w:numId="9">
    <w:abstractNumId w:val="11"/>
  </w:num>
  <w:num w:numId="10">
    <w:abstractNumId w:val="10"/>
  </w:num>
  <w:num w:numId="11">
    <w:abstractNumId w:val="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A66741"/>
    <w:rsid w:val="00180973"/>
    <w:rsid w:val="003B15BC"/>
    <w:rsid w:val="006A36C8"/>
    <w:rsid w:val="00883431"/>
    <w:rsid w:val="00A66741"/>
    <w:rsid w:val="00AC4D44"/>
    <w:rsid w:val="00E5730A"/>
    <w:rsid w:val="00FB2EC7"/>
    <w:rsid w:val="00FE21E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5B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Car,Car Car Car,Car Car,Texto nota pie1,Car4,Texto independiente1, Car, Car4,Body Text,Car2 Car Car Car Car Car,Car2 Car,Car2,Car1 Car, Car2 Car Car Car Car Car, Car2 Car, Car2, Car1 Car"/>
    <w:basedOn w:val="Normal"/>
    <w:link w:val="TextonotapieCar"/>
    <w:semiHidden/>
    <w:rsid w:val="00A66741"/>
    <w:pPr>
      <w:spacing w:after="0" w:line="240" w:lineRule="auto"/>
    </w:pPr>
    <w:rPr>
      <w:rFonts w:ascii="Times New Roman" w:eastAsia="Calibri" w:hAnsi="Times New Roman" w:cs="Times New Roman"/>
      <w:sz w:val="20"/>
      <w:szCs w:val="20"/>
      <w:lang w:val="es-ES" w:eastAsia="es-PE"/>
    </w:rPr>
  </w:style>
  <w:style w:type="character" w:customStyle="1" w:styleId="TextonotapieCar">
    <w:name w:val="Texto nota pie Car"/>
    <w:aliases w:val="Car Car1,Car Car Car Car,Car Car Car1,Texto nota pie1 Car,Car4 Car,Texto independiente1 Car, Car Car, Car4 Car,Body Text Car,Car2 Car Car Car Car Car Car,Car2 Car Car,Car2 Car1,Car1 Car Car, Car2 Car Car Car Car Car Car, Car2 Car Car"/>
    <w:basedOn w:val="Fuentedeprrafopredeter"/>
    <w:link w:val="Textonotapie"/>
    <w:semiHidden/>
    <w:rsid w:val="00A66741"/>
    <w:rPr>
      <w:rFonts w:ascii="Times New Roman" w:eastAsia="Calibri" w:hAnsi="Times New Roman" w:cs="Times New Roman"/>
      <w:sz w:val="20"/>
      <w:szCs w:val="20"/>
      <w:lang w:val="es-ES" w:eastAsia="es-PE"/>
    </w:rPr>
  </w:style>
  <w:style w:type="character" w:styleId="Refdenotaalpie">
    <w:name w:val="footnote reference"/>
    <w:basedOn w:val="Fuentedeprrafopredeter"/>
    <w:semiHidden/>
    <w:rsid w:val="00A66741"/>
    <w:rPr>
      <w:rFonts w:cs="Times New Roman"/>
      <w:vertAlign w:val="superscript"/>
    </w:rPr>
  </w:style>
  <w:style w:type="paragraph" w:styleId="Piedepgina">
    <w:name w:val="footer"/>
    <w:basedOn w:val="Normal"/>
    <w:link w:val="PiedepginaCar"/>
    <w:uiPriority w:val="99"/>
    <w:unhideWhenUsed/>
    <w:rsid w:val="00A6674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66741"/>
  </w:style>
  <w:style w:type="paragraph" w:styleId="Encabezado">
    <w:name w:val="header"/>
    <w:aliases w:val="maria,h"/>
    <w:basedOn w:val="Normal"/>
    <w:link w:val="EncabezadoCar"/>
    <w:uiPriority w:val="99"/>
    <w:unhideWhenUsed/>
    <w:rsid w:val="00180973"/>
    <w:pPr>
      <w:tabs>
        <w:tab w:val="center" w:pos="4419"/>
        <w:tab w:val="right" w:pos="8838"/>
      </w:tabs>
      <w:spacing w:after="0" w:line="240" w:lineRule="auto"/>
    </w:pPr>
  </w:style>
  <w:style w:type="character" w:customStyle="1" w:styleId="EncabezadoCar">
    <w:name w:val="Encabezado Car"/>
    <w:aliases w:val="maria Car,h Car"/>
    <w:basedOn w:val="Fuentedeprrafopredeter"/>
    <w:link w:val="Encabezado"/>
    <w:uiPriority w:val="99"/>
    <w:rsid w:val="00180973"/>
  </w:style>
  <w:style w:type="paragraph" w:styleId="Textodeglobo">
    <w:name w:val="Balloon Text"/>
    <w:basedOn w:val="Normal"/>
    <w:link w:val="TextodegloboCar"/>
    <w:uiPriority w:val="99"/>
    <w:semiHidden/>
    <w:unhideWhenUsed/>
    <w:rsid w:val="0018097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809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Car,Car Car Car,Car Car,Texto nota pie1,Car4,Texto independiente1, Car, Car4,Body Text,Car2 Car Car Car Car Car,Car2 Car,Car2,Car1 Car, Car2 Car Car Car Car Car, Car2 Car, Car2, Car1 Car"/>
    <w:basedOn w:val="Normal"/>
    <w:link w:val="TextonotapieCar"/>
    <w:semiHidden/>
    <w:rsid w:val="00A66741"/>
    <w:pPr>
      <w:spacing w:after="0" w:line="240" w:lineRule="auto"/>
    </w:pPr>
    <w:rPr>
      <w:rFonts w:ascii="Times New Roman" w:eastAsia="Calibri" w:hAnsi="Times New Roman" w:cs="Times New Roman"/>
      <w:sz w:val="20"/>
      <w:szCs w:val="20"/>
      <w:lang w:val="es-ES" w:eastAsia="es-PE"/>
    </w:rPr>
  </w:style>
  <w:style w:type="character" w:customStyle="1" w:styleId="TextonotapieCar">
    <w:name w:val="Texto nota pie Car"/>
    <w:aliases w:val="Car Car1,Car Car Car Car,Car Car Car1,Texto nota pie1 Car,Car4 Car,Texto independiente1 Car, Car Car, Car4 Car,Body Text Car,Car2 Car Car Car Car Car Car,Car2 Car Car,Car2 Car1,Car1 Car Car, Car2 Car Car Car Car Car Car, Car2 Car Car"/>
    <w:basedOn w:val="Fuentedeprrafopredeter"/>
    <w:link w:val="Textonotapie"/>
    <w:semiHidden/>
    <w:rsid w:val="00A66741"/>
    <w:rPr>
      <w:rFonts w:ascii="Times New Roman" w:eastAsia="Calibri" w:hAnsi="Times New Roman" w:cs="Times New Roman"/>
      <w:sz w:val="20"/>
      <w:szCs w:val="20"/>
      <w:lang w:val="es-ES" w:eastAsia="es-PE"/>
    </w:rPr>
  </w:style>
  <w:style w:type="character" w:styleId="Refdenotaalpie">
    <w:name w:val="footnote reference"/>
    <w:basedOn w:val="Fuentedeprrafopredeter"/>
    <w:semiHidden/>
    <w:rsid w:val="00A66741"/>
    <w:rPr>
      <w:rFonts w:cs="Times New Roman"/>
      <w:vertAlign w:val="superscript"/>
    </w:rPr>
  </w:style>
  <w:style w:type="paragraph" w:styleId="Piedepgina">
    <w:name w:val="footer"/>
    <w:basedOn w:val="Normal"/>
    <w:link w:val="PiedepginaCar"/>
    <w:uiPriority w:val="99"/>
    <w:unhideWhenUsed/>
    <w:rsid w:val="00A6674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66741"/>
  </w:style>
  <w:style w:type="paragraph" w:styleId="Encabezado">
    <w:name w:val="header"/>
    <w:basedOn w:val="Normal"/>
    <w:link w:val="EncabezadoCar"/>
    <w:uiPriority w:val="99"/>
    <w:unhideWhenUsed/>
    <w:rsid w:val="0018097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80973"/>
  </w:style>
  <w:style w:type="paragraph" w:styleId="Textodeglobo">
    <w:name w:val="Balloon Text"/>
    <w:basedOn w:val="Normal"/>
    <w:link w:val="TextodegloboCar"/>
    <w:uiPriority w:val="99"/>
    <w:semiHidden/>
    <w:unhideWhenUsed/>
    <w:rsid w:val="0018097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8097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055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11</Pages>
  <Words>3593</Words>
  <Characters>19765</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del Carmen Negreiros Andrade</dc:creator>
  <cp:lastModifiedBy>bcaceres</cp:lastModifiedBy>
  <cp:revision>3</cp:revision>
  <cp:lastPrinted>2011-09-20T14:40:00Z</cp:lastPrinted>
  <dcterms:created xsi:type="dcterms:W3CDTF">2011-09-20T14:21:00Z</dcterms:created>
  <dcterms:modified xsi:type="dcterms:W3CDTF">2011-10-07T13:55:00Z</dcterms:modified>
</cp:coreProperties>
</file>